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465D261D">
      <w:pPr>
        <w:rPr>
          <w:rFonts w:hint="eastAsia"/>
          <w:sz w:val="21"/>
          <w:szCs w:val="21"/>
        </w:rPr>
      </w:pPr>
      <w:bookmarkStart w:id="0" w:name="_Toc24952"/>
    </w:p>
    <w:p w14:paraId="38F8A04A">
      <w:pPr>
        <w:pStyle w:val="11"/>
      </w:pPr>
    </w:p>
    <w:p w14:paraId="24ADDB4D">
      <w:pPr>
        <w:jc w:val="center"/>
        <w:rPr>
          <w:rFonts w:hint="eastAsia"/>
          <w:b/>
          <w:bCs/>
          <w:sz w:val="44"/>
          <w:szCs w:val="44"/>
        </w:rPr>
      </w:pPr>
      <w:bookmarkStart w:id="1" w:name="_Toc24551"/>
    </w:p>
    <w:bookmarkEnd w:id="1"/>
    <w:p w14:paraId="2578025F">
      <w:pPr>
        <w:jc w:val="center"/>
        <w:rPr>
          <w:rFonts w:hint="eastAsia"/>
          <w:b/>
          <w:bCs/>
          <w:sz w:val="44"/>
          <w:szCs w:val="44"/>
        </w:rPr>
      </w:pPr>
      <w:bookmarkStart w:id="2" w:name="_Toc23853"/>
      <w:r>
        <w:rPr>
          <w:rFonts w:hint="eastAsia"/>
          <w:b/>
          <w:bCs/>
          <w:sz w:val="44"/>
          <w:szCs w:val="44"/>
          <w:lang w:eastAsia="zh-CN"/>
        </w:rPr>
        <w:t>贵州省铜仁</w:t>
      </w:r>
      <w:r>
        <w:rPr>
          <w:rFonts w:hint="eastAsia"/>
          <w:b/>
          <w:bCs/>
          <w:sz w:val="44"/>
          <w:szCs w:val="44"/>
          <w:lang w:val="en-US" w:eastAsia="zh-CN"/>
        </w:rPr>
        <w:t>凤凰</w:t>
      </w:r>
      <w:r>
        <w:rPr>
          <w:rFonts w:hint="eastAsia"/>
          <w:b/>
          <w:bCs/>
          <w:sz w:val="44"/>
          <w:szCs w:val="44"/>
          <w:lang w:eastAsia="zh-CN"/>
        </w:rPr>
        <w:t>机场有限责任公司推进“</w:t>
      </w:r>
      <w:r>
        <w:rPr>
          <w:rFonts w:hint="eastAsia"/>
          <w:b/>
          <w:bCs/>
          <w:sz w:val="44"/>
          <w:szCs w:val="44"/>
          <w:lang w:val="en-US" w:eastAsia="zh-CN"/>
        </w:rPr>
        <w:t>绿色机场</w:t>
      </w:r>
      <w:r>
        <w:rPr>
          <w:rFonts w:hint="eastAsia"/>
          <w:b/>
          <w:bCs/>
          <w:sz w:val="44"/>
          <w:szCs w:val="44"/>
          <w:lang w:eastAsia="zh-CN"/>
        </w:rPr>
        <w:t>”</w:t>
      </w:r>
      <w:r>
        <w:rPr>
          <w:rFonts w:hint="eastAsia"/>
          <w:b/>
          <w:bCs/>
          <w:sz w:val="44"/>
          <w:szCs w:val="44"/>
          <w:lang w:val="en-US" w:eastAsia="zh-CN"/>
        </w:rPr>
        <w:t>建设</w:t>
      </w:r>
      <w:r>
        <w:rPr>
          <w:rFonts w:hint="eastAsia"/>
          <w:b/>
          <w:bCs/>
          <w:sz w:val="44"/>
          <w:szCs w:val="44"/>
          <w:lang w:eastAsia="zh-CN"/>
        </w:rPr>
        <w:t>实施光伏项目公开招商</w:t>
      </w:r>
      <w:bookmarkEnd w:id="2"/>
      <w:r>
        <w:rPr>
          <w:rFonts w:hint="eastAsia"/>
          <w:b/>
          <w:bCs/>
          <w:sz w:val="44"/>
          <w:szCs w:val="44"/>
          <w:lang w:eastAsia="zh-CN"/>
        </w:rPr>
        <w:t>方案</w:t>
      </w:r>
    </w:p>
    <w:p w14:paraId="0E805A1E">
      <w:pPr>
        <w:rPr>
          <w:rFonts w:hint="eastAsia"/>
        </w:rPr>
      </w:pPr>
    </w:p>
    <w:p w14:paraId="4D0CEC27">
      <w:pPr>
        <w:rPr>
          <w:rFonts w:hint="eastAsia"/>
        </w:rPr>
      </w:pPr>
    </w:p>
    <w:p w14:paraId="70ECAA52">
      <w:pPr>
        <w:rPr>
          <w:rFonts w:hint="eastAsia"/>
        </w:rPr>
      </w:pPr>
    </w:p>
    <w:p w14:paraId="2D01F381">
      <w:pPr>
        <w:pStyle w:val="11"/>
      </w:pPr>
    </w:p>
    <w:p w14:paraId="30E16327">
      <w:pPr>
        <w:rPr>
          <w:rFonts w:hint="eastAsia"/>
        </w:rPr>
      </w:pPr>
    </w:p>
    <w:p w14:paraId="21898717">
      <w:pPr>
        <w:rPr>
          <w:rFonts w:hint="eastAsia"/>
        </w:rPr>
      </w:pPr>
    </w:p>
    <w:p w14:paraId="1C83B355">
      <w:pPr>
        <w:rPr>
          <w:rFonts w:hint="eastAsia"/>
        </w:rPr>
      </w:pPr>
    </w:p>
    <w:p w14:paraId="43F8A2D0">
      <w:pPr>
        <w:rPr>
          <w:rFonts w:hint="eastAsia"/>
        </w:rPr>
      </w:pPr>
    </w:p>
    <w:p w14:paraId="4DE629BC">
      <w:pPr>
        <w:rPr>
          <w:rFonts w:hint="eastAsia"/>
        </w:rPr>
      </w:pPr>
    </w:p>
    <w:p w14:paraId="21B5632C">
      <w:pPr>
        <w:rPr>
          <w:rFonts w:hint="eastAsia"/>
        </w:rPr>
      </w:pPr>
    </w:p>
    <w:p w14:paraId="561B8BA2">
      <w:pPr>
        <w:rPr>
          <w:rFonts w:hint="eastAsia"/>
        </w:rPr>
      </w:pPr>
    </w:p>
    <w:p w14:paraId="5FE106D4">
      <w:pPr>
        <w:rPr>
          <w:rFonts w:hint="eastAsia"/>
        </w:rPr>
      </w:pPr>
    </w:p>
    <w:p w14:paraId="57F450BA">
      <w:pPr>
        <w:pStyle w:val="11"/>
        <w:rPr>
          <w:rFonts w:hint="eastAsia"/>
        </w:rPr>
      </w:pPr>
    </w:p>
    <w:p w14:paraId="7C41272D">
      <w:pPr>
        <w:rPr>
          <w:rFonts w:hint="eastAsia"/>
          <w:sz w:val="28"/>
          <w:szCs w:val="28"/>
        </w:rPr>
      </w:pPr>
    </w:p>
    <w:p w14:paraId="3BDD56C3">
      <w:pPr>
        <w:jc w:val="center"/>
        <w:rPr>
          <w:rFonts w:hint="eastAsia"/>
          <w:b/>
          <w:bCs/>
          <w:sz w:val="28"/>
          <w:szCs w:val="28"/>
        </w:rPr>
      </w:pPr>
      <w:bookmarkStart w:id="3" w:name="_Toc17654"/>
      <w:r>
        <w:rPr>
          <w:rFonts w:hint="eastAsia"/>
          <w:b/>
          <w:bCs/>
          <w:sz w:val="28"/>
          <w:szCs w:val="28"/>
        </w:rPr>
        <w:t>贵州省铜仁凤凰机场有限责任公司</w:t>
      </w:r>
      <w:bookmarkEnd w:id="3"/>
    </w:p>
    <w:p w14:paraId="5B23901B">
      <w:pPr>
        <w:jc w:val="center"/>
        <w:rPr>
          <w:rFonts w:hint="eastAsia"/>
          <w:b/>
          <w:bCs/>
          <w:sz w:val="28"/>
          <w:szCs w:val="28"/>
        </w:rPr>
      </w:pPr>
      <w:r>
        <w:rPr>
          <w:rFonts w:hint="eastAsia"/>
          <w:b/>
          <w:bCs/>
          <w:sz w:val="28"/>
          <w:szCs w:val="28"/>
        </w:rPr>
        <w:t>二〇二四年</w:t>
      </w:r>
      <w:r>
        <w:rPr>
          <w:rFonts w:hint="eastAsia"/>
          <w:b/>
          <w:bCs/>
          <w:sz w:val="28"/>
          <w:szCs w:val="28"/>
          <w:lang w:eastAsia="zh-CN"/>
        </w:rPr>
        <w:t>十</w:t>
      </w:r>
      <w:r>
        <w:rPr>
          <w:rFonts w:hint="eastAsia"/>
          <w:b/>
          <w:bCs/>
          <w:sz w:val="28"/>
          <w:szCs w:val="28"/>
        </w:rPr>
        <w:t>月</w:t>
      </w:r>
    </w:p>
    <w:p w14:paraId="38ACE26E">
      <w:pPr>
        <w:rPr>
          <w:rFonts w:hint="eastAsia" w:hAnsi="宋体"/>
        </w:rPr>
      </w:pPr>
      <w:r>
        <w:rPr>
          <w:rFonts w:hint="eastAsia" w:hAnsi="宋体"/>
        </w:rPr>
        <w:br w:type="page"/>
      </w:r>
    </w:p>
    <w:p w14:paraId="2996D080">
      <w:pPr>
        <w:spacing w:line="240" w:lineRule="auto"/>
        <w:jc w:val="center"/>
        <w:rPr>
          <w:rFonts w:hint="eastAsia" w:ascii="宋体" w:hAnsi="宋体" w:eastAsia="宋体" w:cs="宋体"/>
          <w:b w:val="0"/>
          <w:bCs w:val="0"/>
          <w:sz w:val="44"/>
          <w:szCs w:val="44"/>
        </w:rPr>
      </w:pPr>
      <w:r>
        <w:rPr>
          <w:rFonts w:hint="eastAsia" w:ascii="宋体" w:hAnsi="宋体" w:eastAsia="宋体" w:cs="宋体"/>
          <w:b w:val="0"/>
          <w:bCs w:val="0"/>
          <w:sz w:val="44"/>
          <w:szCs w:val="44"/>
        </w:rPr>
        <w:t>目录</w:t>
      </w:r>
    </w:p>
    <w:p w14:paraId="649805B6">
      <w:pPr>
        <w:pStyle w:val="27"/>
        <w:tabs>
          <w:tab w:val="right" w:leader="dot" w:pos="8300"/>
        </w:tabs>
        <w:spacing w:line="560" w:lineRule="exact"/>
        <w:rPr>
          <w:rFonts w:hint="eastAsia" w:ascii="宋体" w:hAnsi="宋体" w:eastAsia="宋体" w:cs="宋体"/>
          <w:sz w:val="28"/>
          <w:szCs w:val="28"/>
        </w:rPr>
      </w:pPr>
      <w:r>
        <w:rPr>
          <w:rFonts w:hint="eastAsia" w:hAnsi="宋体" w:cs="宋体"/>
          <w:bCs/>
          <w:kern w:val="2"/>
          <w:sz w:val="24"/>
          <w:szCs w:val="24"/>
        </w:rPr>
        <w:fldChar w:fldCharType="begin"/>
      </w:r>
      <w:r>
        <w:rPr>
          <w:rFonts w:hint="eastAsia" w:hAnsi="宋体" w:cs="宋体"/>
          <w:bCs/>
          <w:kern w:val="2"/>
          <w:sz w:val="24"/>
          <w:szCs w:val="24"/>
        </w:rPr>
        <w:instrText xml:space="preserve">TOC \o "1-3" \h \u </w:instrText>
      </w:r>
      <w:r>
        <w:rPr>
          <w:rFonts w:hint="eastAsia" w:hAnsi="宋体" w:cs="宋体"/>
          <w:bCs/>
          <w:kern w:val="2"/>
          <w:sz w:val="24"/>
          <w:szCs w:val="24"/>
        </w:rPr>
        <w:fldChar w:fldCharType="separate"/>
      </w:r>
      <w:r>
        <w:rPr>
          <w:rFonts w:hint="eastAsia" w:ascii="宋体" w:hAnsi="宋体" w:eastAsia="宋体" w:cs="宋体"/>
          <w:bCs/>
          <w:sz w:val="28"/>
          <w:szCs w:val="28"/>
        </w:rPr>
        <w:fldChar w:fldCharType="begin"/>
      </w:r>
      <w:r>
        <w:rPr>
          <w:rFonts w:hint="eastAsia" w:ascii="宋体" w:hAnsi="宋体" w:eastAsia="宋体" w:cs="宋体"/>
          <w:bCs/>
          <w:sz w:val="28"/>
          <w:szCs w:val="28"/>
        </w:rPr>
        <w:instrText xml:space="preserve"> HYPERLINK \l _Toc16017 </w:instrText>
      </w:r>
      <w:r>
        <w:rPr>
          <w:rFonts w:hint="eastAsia" w:ascii="宋体" w:hAnsi="宋体" w:eastAsia="宋体" w:cs="宋体"/>
          <w:bCs/>
          <w:sz w:val="28"/>
          <w:szCs w:val="28"/>
        </w:rPr>
        <w:fldChar w:fldCharType="separate"/>
      </w:r>
      <w:r>
        <w:rPr>
          <w:rFonts w:hint="eastAsia" w:ascii="宋体" w:hAnsi="宋体" w:eastAsia="宋体" w:cs="宋体"/>
          <w:bCs w:val="0"/>
          <w:sz w:val="28"/>
          <w:szCs w:val="28"/>
          <w:lang w:val="zh-CN" w:eastAsia="zh-CN"/>
        </w:rPr>
        <w:t>一、项目背景与目的</w:t>
      </w:r>
      <w:r>
        <w:rPr>
          <w:rFonts w:hint="eastAsia" w:ascii="宋体" w:hAnsi="宋体" w:eastAsia="宋体" w:cs="宋体"/>
          <w:sz w:val="28"/>
          <w:szCs w:val="28"/>
        </w:rPr>
        <w:tab/>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PAGEREF _Toc16017 \h </w:instrText>
      </w:r>
      <w:r>
        <w:rPr>
          <w:rFonts w:hint="eastAsia" w:ascii="宋体" w:hAnsi="宋体" w:eastAsia="宋体" w:cs="宋体"/>
          <w:sz w:val="28"/>
          <w:szCs w:val="28"/>
        </w:rPr>
        <w:fldChar w:fldCharType="separate"/>
      </w:r>
      <w:r>
        <w:rPr>
          <w:rFonts w:hint="eastAsia" w:ascii="宋体" w:hAnsi="宋体" w:eastAsia="宋体" w:cs="宋体"/>
          <w:sz w:val="28"/>
          <w:szCs w:val="28"/>
        </w:rPr>
        <w:t>3</w:t>
      </w:r>
      <w:r>
        <w:rPr>
          <w:rFonts w:hint="eastAsia" w:ascii="宋体" w:hAnsi="宋体" w:eastAsia="宋体" w:cs="宋体"/>
          <w:sz w:val="28"/>
          <w:szCs w:val="28"/>
        </w:rPr>
        <w:fldChar w:fldCharType="end"/>
      </w:r>
      <w:r>
        <w:rPr>
          <w:rFonts w:hint="eastAsia" w:ascii="宋体" w:hAnsi="宋体" w:eastAsia="宋体" w:cs="宋体"/>
          <w:bCs/>
          <w:sz w:val="28"/>
          <w:szCs w:val="28"/>
        </w:rPr>
        <w:fldChar w:fldCharType="end"/>
      </w:r>
    </w:p>
    <w:p w14:paraId="170C22C7">
      <w:pPr>
        <w:pStyle w:val="27"/>
        <w:tabs>
          <w:tab w:val="right" w:leader="dot" w:pos="8300"/>
        </w:tabs>
        <w:spacing w:line="560" w:lineRule="exact"/>
        <w:rPr>
          <w:rFonts w:hint="eastAsia" w:ascii="宋体" w:hAnsi="宋体" w:eastAsia="宋体" w:cs="宋体"/>
          <w:sz w:val="28"/>
          <w:szCs w:val="28"/>
        </w:rPr>
      </w:pPr>
      <w:r>
        <w:rPr>
          <w:rFonts w:hint="eastAsia" w:ascii="宋体" w:hAnsi="宋体" w:eastAsia="宋体" w:cs="宋体"/>
          <w:bCs/>
          <w:sz w:val="28"/>
          <w:szCs w:val="28"/>
        </w:rPr>
        <w:fldChar w:fldCharType="begin"/>
      </w:r>
      <w:r>
        <w:rPr>
          <w:rFonts w:hint="eastAsia" w:ascii="宋体" w:hAnsi="宋体" w:eastAsia="宋体" w:cs="宋体"/>
          <w:bCs/>
          <w:sz w:val="28"/>
          <w:szCs w:val="28"/>
        </w:rPr>
        <w:instrText xml:space="preserve"> HYPERLINK \l _Toc17702 </w:instrText>
      </w:r>
      <w:r>
        <w:rPr>
          <w:rFonts w:hint="eastAsia" w:ascii="宋体" w:hAnsi="宋体" w:eastAsia="宋体" w:cs="宋体"/>
          <w:bCs/>
          <w:sz w:val="28"/>
          <w:szCs w:val="28"/>
        </w:rPr>
        <w:fldChar w:fldCharType="separate"/>
      </w:r>
      <w:r>
        <w:rPr>
          <w:rFonts w:hint="eastAsia" w:ascii="宋体" w:hAnsi="宋体" w:eastAsia="宋体" w:cs="宋体"/>
          <w:bCs w:val="0"/>
          <w:sz w:val="28"/>
          <w:szCs w:val="28"/>
          <w:lang w:val="zh-CN" w:eastAsia="zh-CN"/>
        </w:rPr>
        <w:t>二、项目概况</w:t>
      </w:r>
      <w:r>
        <w:rPr>
          <w:rFonts w:hint="eastAsia" w:ascii="宋体" w:hAnsi="宋体" w:eastAsia="宋体" w:cs="宋体"/>
          <w:sz w:val="28"/>
          <w:szCs w:val="28"/>
        </w:rPr>
        <w:tab/>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PAGEREF _Toc17702 \h </w:instrText>
      </w:r>
      <w:r>
        <w:rPr>
          <w:rFonts w:hint="eastAsia" w:ascii="宋体" w:hAnsi="宋体" w:eastAsia="宋体" w:cs="宋体"/>
          <w:sz w:val="28"/>
          <w:szCs w:val="28"/>
        </w:rPr>
        <w:fldChar w:fldCharType="separate"/>
      </w:r>
      <w:r>
        <w:rPr>
          <w:rFonts w:hint="eastAsia" w:ascii="宋体" w:hAnsi="宋体" w:eastAsia="宋体" w:cs="宋体"/>
          <w:sz w:val="28"/>
          <w:szCs w:val="28"/>
        </w:rPr>
        <w:t>3</w:t>
      </w:r>
      <w:r>
        <w:rPr>
          <w:rFonts w:hint="eastAsia" w:ascii="宋体" w:hAnsi="宋体" w:eastAsia="宋体" w:cs="宋体"/>
          <w:sz w:val="28"/>
          <w:szCs w:val="28"/>
        </w:rPr>
        <w:fldChar w:fldCharType="end"/>
      </w:r>
      <w:r>
        <w:rPr>
          <w:rFonts w:hint="eastAsia" w:ascii="宋体" w:hAnsi="宋体" w:eastAsia="宋体" w:cs="宋体"/>
          <w:bCs/>
          <w:sz w:val="28"/>
          <w:szCs w:val="28"/>
        </w:rPr>
        <w:fldChar w:fldCharType="end"/>
      </w:r>
    </w:p>
    <w:p w14:paraId="0629391A">
      <w:pPr>
        <w:pStyle w:val="14"/>
        <w:tabs>
          <w:tab w:val="right" w:leader="dot" w:pos="8300"/>
        </w:tabs>
        <w:spacing w:line="560" w:lineRule="exact"/>
        <w:rPr>
          <w:rFonts w:hint="eastAsia" w:ascii="宋体" w:hAnsi="宋体" w:eastAsia="宋体" w:cs="宋体"/>
          <w:sz w:val="28"/>
          <w:szCs w:val="28"/>
        </w:rPr>
      </w:pPr>
      <w:r>
        <w:rPr>
          <w:rFonts w:hint="eastAsia" w:ascii="宋体" w:hAnsi="宋体" w:eastAsia="宋体" w:cs="宋体"/>
          <w:bCs/>
          <w:sz w:val="28"/>
          <w:szCs w:val="28"/>
        </w:rPr>
        <w:fldChar w:fldCharType="begin"/>
      </w:r>
      <w:r>
        <w:rPr>
          <w:rFonts w:hint="eastAsia" w:ascii="宋体" w:hAnsi="宋体" w:eastAsia="宋体" w:cs="宋体"/>
          <w:bCs/>
          <w:sz w:val="28"/>
          <w:szCs w:val="28"/>
        </w:rPr>
        <w:instrText xml:space="preserve"> HYPERLINK \l _Toc22168 </w:instrText>
      </w:r>
      <w:r>
        <w:rPr>
          <w:rFonts w:hint="eastAsia" w:ascii="宋体" w:hAnsi="宋体" w:eastAsia="宋体" w:cs="宋体"/>
          <w:bCs/>
          <w:sz w:val="28"/>
          <w:szCs w:val="28"/>
        </w:rPr>
        <w:fldChar w:fldCharType="separate"/>
      </w:r>
      <w:r>
        <w:rPr>
          <w:rFonts w:hint="eastAsia" w:ascii="宋体" w:hAnsi="宋体" w:eastAsia="宋体" w:cs="宋体"/>
          <w:bCs w:val="0"/>
          <w:sz w:val="28"/>
          <w:szCs w:val="28"/>
          <w:lang w:val="en-US" w:eastAsia="zh-CN"/>
        </w:rPr>
        <w:t>（一）</w:t>
      </w:r>
      <w:r>
        <w:rPr>
          <w:rFonts w:hint="eastAsia" w:ascii="宋体" w:hAnsi="宋体" w:eastAsia="宋体" w:cs="宋体"/>
          <w:bCs w:val="0"/>
          <w:sz w:val="28"/>
          <w:szCs w:val="28"/>
        </w:rPr>
        <w:t>项目地点</w:t>
      </w:r>
      <w:r>
        <w:rPr>
          <w:rFonts w:hint="eastAsia" w:ascii="宋体" w:hAnsi="宋体" w:eastAsia="宋体" w:cs="宋体"/>
          <w:sz w:val="28"/>
          <w:szCs w:val="28"/>
        </w:rPr>
        <w:tab/>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PAGEREF _Toc22168 \h </w:instrText>
      </w:r>
      <w:r>
        <w:rPr>
          <w:rFonts w:hint="eastAsia" w:ascii="宋体" w:hAnsi="宋体" w:eastAsia="宋体" w:cs="宋体"/>
          <w:sz w:val="28"/>
          <w:szCs w:val="28"/>
        </w:rPr>
        <w:fldChar w:fldCharType="separate"/>
      </w:r>
      <w:r>
        <w:rPr>
          <w:rFonts w:hint="eastAsia" w:ascii="宋体" w:hAnsi="宋体" w:eastAsia="宋体" w:cs="宋体"/>
          <w:sz w:val="28"/>
          <w:szCs w:val="28"/>
        </w:rPr>
        <w:t>3</w:t>
      </w:r>
      <w:r>
        <w:rPr>
          <w:rFonts w:hint="eastAsia" w:ascii="宋体" w:hAnsi="宋体" w:eastAsia="宋体" w:cs="宋体"/>
          <w:sz w:val="28"/>
          <w:szCs w:val="28"/>
        </w:rPr>
        <w:fldChar w:fldCharType="end"/>
      </w:r>
      <w:r>
        <w:rPr>
          <w:rFonts w:hint="eastAsia" w:ascii="宋体" w:hAnsi="宋体" w:eastAsia="宋体" w:cs="宋体"/>
          <w:bCs/>
          <w:sz w:val="28"/>
          <w:szCs w:val="28"/>
        </w:rPr>
        <w:fldChar w:fldCharType="end"/>
      </w:r>
    </w:p>
    <w:p w14:paraId="66351B6F">
      <w:pPr>
        <w:pStyle w:val="14"/>
        <w:tabs>
          <w:tab w:val="right" w:leader="dot" w:pos="8300"/>
        </w:tabs>
        <w:spacing w:line="560" w:lineRule="exact"/>
        <w:rPr>
          <w:rFonts w:hint="eastAsia" w:ascii="宋体" w:hAnsi="宋体" w:eastAsia="宋体" w:cs="宋体"/>
          <w:sz w:val="28"/>
          <w:szCs w:val="28"/>
        </w:rPr>
      </w:pPr>
      <w:r>
        <w:rPr>
          <w:rFonts w:hint="eastAsia" w:ascii="宋体" w:hAnsi="宋体" w:eastAsia="宋体" w:cs="宋体"/>
          <w:bCs/>
          <w:sz w:val="28"/>
          <w:szCs w:val="28"/>
        </w:rPr>
        <w:fldChar w:fldCharType="begin"/>
      </w:r>
      <w:r>
        <w:rPr>
          <w:rFonts w:hint="eastAsia" w:ascii="宋体" w:hAnsi="宋体" w:eastAsia="宋体" w:cs="宋体"/>
          <w:bCs/>
          <w:sz w:val="28"/>
          <w:szCs w:val="28"/>
        </w:rPr>
        <w:instrText xml:space="preserve"> HYPERLINK \l _Toc13985 </w:instrText>
      </w:r>
      <w:r>
        <w:rPr>
          <w:rFonts w:hint="eastAsia" w:ascii="宋体" w:hAnsi="宋体" w:eastAsia="宋体" w:cs="宋体"/>
          <w:bCs/>
          <w:sz w:val="28"/>
          <w:szCs w:val="28"/>
        </w:rPr>
        <w:fldChar w:fldCharType="separate"/>
      </w:r>
      <w:r>
        <w:rPr>
          <w:rFonts w:hint="eastAsia" w:ascii="宋体" w:hAnsi="宋体" w:eastAsia="宋体" w:cs="宋体"/>
          <w:bCs w:val="0"/>
          <w:sz w:val="28"/>
          <w:szCs w:val="28"/>
          <w:lang w:val="en-US" w:eastAsia="zh-CN"/>
        </w:rPr>
        <w:t>（二）项目建设规模</w:t>
      </w:r>
      <w:r>
        <w:rPr>
          <w:rFonts w:hint="eastAsia" w:ascii="宋体" w:hAnsi="宋体" w:eastAsia="宋体" w:cs="宋体"/>
          <w:sz w:val="28"/>
          <w:szCs w:val="28"/>
        </w:rPr>
        <w:tab/>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PAGEREF _Toc13985 \h </w:instrText>
      </w:r>
      <w:r>
        <w:rPr>
          <w:rFonts w:hint="eastAsia" w:ascii="宋体" w:hAnsi="宋体" w:eastAsia="宋体" w:cs="宋体"/>
          <w:sz w:val="28"/>
          <w:szCs w:val="28"/>
        </w:rPr>
        <w:fldChar w:fldCharType="separate"/>
      </w:r>
      <w:r>
        <w:rPr>
          <w:rFonts w:hint="eastAsia" w:ascii="宋体" w:hAnsi="宋体" w:eastAsia="宋体" w:cs="宋体"/>
          <w:sz w:val="28"/>
          <w:szCs w:val="28"/>
        </w:rPr>
        <w:t>3</w:t>
      </w:r>
      <w:r>
        <w:rPr>
          <w:rFonts w:hint="eastAsia" w:ascii="宋体" w:hAnsi="宋体" w:eastAsia="宋体" w:cs="宋体"/>
          <w:sz w:val="28"/>
          <w:szCs w:val="28"/>
        </w:rPr>
        <w:fldChar w:fldCharType="end"/>
      </w:r>
      <w:r>
        <w:rPr>
          <w:rFonts w:hint="eastAsia" w:ascii="宋体" w:hAnsi="宋体" w:eastAsia="宋体" w:cs="宋体"/>
          <w:bCs/>
          <w:sz w:val="28"/>
          <w:szCs w:val="28"/>
        </w:rPr>
        <w:fldChar w:fldCharType="end"/>
      </w:r>
    </w:p>
    <w:p w14:paraId="02DF5CC1">
      <w:pPr>
        <w:pStyle w:val="14"/>
        <w:tabs>
          <w:tab w:val="right" w:leader="dot" w:pos="8300"/>
        </w:tabs>
        <w:spacing w:line="560" w:lineRule="exact"/>
        <w:rPr>
          <w:rFonts w:hint="eastAsia" w:ascii="宋体" w:hAnsi="宋体" w:eastAsia="宋体" w:cs="宋体"/>
          <w:sz w:val="28"/>
          <w:szCs w:val="28"/>
        </w:rPr>
      </w:pPr>
      <w:r>
        <w:rPr>
          <w:rFonts w:hint="eastAsia" w:ascii="宋体" w:hAnsi="宋体" w:eastAsia="宋体" w:cs="宋体"/>
          <w:bCs/>
          <w:sz w:val="28"/>
          <w:szCs w:val="28"/>
        </w:rPr>
        <w:fldChar w:fldCharType="begin"/>
      </w:r>
      <w:r>
        <w:rPr>
          <w:rFonts w:hint="eastAsia" w:ascii="宋体" w:hAnsi="宋体" w:eastAsia="宋体" w:cs="宋体"/>
          <w:bCs/>
          <w:sz w:val="28"/>
          <w:szCs w:val="28"/>
        </w:rPr>
        <w:instrText xml:space="preserve"> HYPERLINK \l _Toc3480 </w:instrText>
      </w:r>
      <w:r>
        <w:rPr>
          <w:rFonts w:hint="eastAsia" w:ascii="宋体" w:hAnsi="宋体" w:eastAsia="宋体" w:cs="宋体"/>
          <w:bCs/>
          <w:sz w:val="28"/>
          <w:szCs w:val="28"/>
        </w:rPr>
        <w:fldChar w:fldCharType="separate"/>
      </w:r>
      <w:r>
        <w:rPr>
          <w:rFonts w:hint="eastAsia" w:ascii="宋体" w:hAnsi="宋体" w:eastAsia="宋体" w:cs="宋体"/>
          <w:bCs w:val="0"/>
          <w:sz w:val="28"/>
          <w:szCs w:val="28"/>
          <w:lang w:val="en-US" w:eastAsia="zh-CN"/>
        </w:rPr>
        <w:t>（三）储能设施要求</w:t>
      </w:r>
      <w:r>
        <w:rPr>
          <w:rFonts w:hint="eastAsia" w:ascii="宋体" w:hAnsi="宋体" w:eastAsia="宋体" w:cs="宋体"/>
          <w:sz w:val="28"/>
          <w:szCs w:val="28"/>
        </w:rPr>
        <w:tab/>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PAGEREF _Toc3480 \h </w:instrText>
      </w:r>
      <w:r>
        <w:rPr>
          <w:rFonts w:hint="eastAsia" w:ascii="宋体" w:hAnsi="宋体" w:eastAsia="宋体" w:cs="宋体"/>
          <w:sz w:val="28"/>
          <w:szCs w:val="28"/>
        </w:rPr>
        <w:fldChar w:fldCharType="separate"/>
      </w:r>
      <w:r>
        <w:rPr>
          <w:rFonts w:hint="eastAsia" w:ascii="宋体" w:hAnsi="宋体" w:eastAsia="宋体" w:cs="宋体"/>
          <w:sz w:val="28"/>
          <w:szCs w:val="28"/>
        </w:rPr>
        <w:t>4</w:t>
      </w:r>
      <w:r>
        <w:rPr>
          <w:rFonts w:hint="eastAsia" w:ascii="宋体" w:hAnsi="宋体" w:eastAsia="宋体" w:cs="宋体"/>
          <w:sz w:val="28"/>
          <w:szCs w:val="28"/>
        </w:rPr>
        <w:fldChar w:fldCharType="end"/>
      </w:r>
      <w:r>
        <w:rPr>
          <w:rFonts w:hint="eastAsia" w:ascii="宋体" w:hAnsi="宋体" w:eastAsia="宋体" w:cs="宋体"/>
          <w:bCs/>
          <w:sz w:val="28"/>
          <w:szCs w:val="28"/>
        </w:rPr>
        <w:fldChar w:fldCharType="end"/>
      </w:r>
    </w:p>
    <w:p w14:paraId="60190384">
      <w:pPr>
        <w:pStyle w:val="27"/>
        <w:tabs>
          <w:tab w:val="right" w:leader="dot" w:pos="8300"/>
        </w:tabs>
        <w:spacing w:line="560" w:lineRule="exact"/>
        <w:rPr>
          <w:rFonts w:hint="eastAsia" w:ascii="宋体" w:hAnsi="宋体" w:eastAsia="宋体" w:cs="宋体"/>
          <w:sz w:val="28"/>
          <w:szCs w:val="28"/>
        </w:rPr>
      </w:pPr>
      <w:r>
        <w:rPr>
          <w:rFonts w:hint="eastAsia" w:ascii="宋体" w:hAnsi="宋体" w:eastAsia="宋体" w:cs="宋体"/>
          <w:bCs/>
          <w:sz w:val="28"/>
          <w:szCs w:val="28"/>
        </w:rPr>
        <w:fldChar w:fldCharType="begin"/>
      </w:r>
      <w:r>
        <w:rPr>
          <w:rFonts w:hint="eastAsia" w:ascii="宋体" w:hAnsi="宋体" w:eastAsia="宋体" w:cs="宋体"/>
          <w:bCs/>
          <w:sz w:val="28"/>
          <w:szCs w:val="28"/>
        </w:rPr>
        <w:instrText xml:space="preserve"> HYPERLINK \l _Toc18157 </w:instrText>
      </w:r>
      <w:r>
        <w:rPr>
          <w:rFonts w:hint="eastAsia" w:ascii="宋体" w:hAnsi="宋体" w:eastAsia="宋体" w:cs="宋体"/>
          <w:bCs/>
          <w:sz w:val="28"/>
          <w:szCs w:val="28"/>
        </w:rPr>
        <w:fldChar w:fldCharType="separate"/>
      </w:r>
      <w:r>
        <w:rPr>
          <w:rFonts w:hint="eastAsia" w:ascii="宋体" w:hAnsi="宋体" w:eastAsia="宋体" w:cs="宋体"/>
          <w:bCs w:val="0"/>
          <w:sz w:val="28"/>
          <w:szCs w:val="28"/>
          <w:lang w:val="zh-CN" w:eastAsia="zh-CN"/>
        </w:rPr>
        <w:t>三、合作模式</w:t>
      </w:r>
      <w:r>
        <w:rPr>
          <w:rFonts w:hint="eastAsia" w:ascii="宋体" w:hAnsi="宋体" w:eastAsia="宋体" w:cs="宋体"/>
          <w:sz w:val="28"/>
          <w:szCs w:val="28"/>
        </w:rPr>
        <w:tab/>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PAGEREF _Toc18157 \h </w:instrText>
      </w:r>
      <w:r>
        <w:rPr>
          <w:rFonts w:hint="eastAsia" w:ascii="宋体" w:hAnsi="宋体" w:eastAsia="宋体" w:cs="宋体"/>
          <w:sz w:val="28"/>
          <w:szCs w:val="28"/>
        </w:rPr>
        <w:fldChar w:fldCharType="separate"/>
      </w:r>
      <w:r>
        <w:rPr>
          <w:rFonts w:hint="eastAsia" w:ascii="宋体" w:hAnsi="宋体" w:eastAsia="宋体" w:cs="宋体"/>
          <w:sz w:val="28"/>
          <w:szCs w:val="28"/>
        </w:rPr>
        <w:t>4</w:t>
      </w:r>
      <w:r>
        <w:rPr>
          <w:rFonts w:hint="eastAsia" w:ascii="宋体" w:hAnsi="宋体" w:eastAsia="宋体" w:cs="宋体"/>
          <w:sz w:val="28"/>
          <w:szCs w:val="28"/>
        </w:rPr>
        <w:fldChar w:fldCharType="end"/>
      </w:r>
      <w:r>
        <w:rPr>
          <w:rFonts w:hint="eastAsia" w:ascii="宋体" w:hAnsi="宋体" w:eastAsia="宋体" w:cs="宋体"/>
          <w:bCs/>
          <w:sz w:val="28"/>
          <w:szCs w:val="28"/>
        </w:rPr>
        <w:fldChar w:fldCharType="end"/>
      </w:r>
    </w:p>
    <w:p w14:paraId="6319E3D2">
      <w:pPr>
        <w:pStyle w:val="27"/>
        <w:tabs>
          <w:tab w:val="right" w:leader="dot" w:pos="8300"/>
        </w:tabs>
        <w:spacing w:line="560" w:lineRule="exact"/>
        <w:rPr>
          <w:rFonts w:hint="eastAsia" w:ascii="宋体" w:hAnsi="宋体" w:eastAsia="宋体" w:cs="宋体"/>
          <w:sz w:val="28"/>
          <w:szCs w:val="28"/>
        </w:rPr>
      </w:pPr>
      <w:r>
        <w:rPr>
          <w:rFonts w:hint="eastAsia" w:ascii="宋体" w:hAnsi="宋体" w:eastAsia="宋体" w:cs="宋体"/>
          <w:bCs/>
          <w:sz w:val="28"/>
          <w:szCs w:val="28"/>
        </w:rPr>
        <w:fldChar w:fldCharType="begin"/>
      </w:r>
      <w:r>
        <w:rPr>
          <w:rFonts w:hint="eastAsia" w:ascii="宋体" w:hAnsi="宋体" w:eastAsia="宋体" w:cs="宋体"/>
          <w:bCs/>
          <w:sz w:val="28"/>
          <w:szCs w:val="28"/>
        </w:rPr>
        <w:instrText xml:space="preserve"> HYPERLINK \l _Toc13810 </w:instrText>
      </w:r>
      <w:r>
        <w:rPr>
          <w:rFonts w:hint="eastAsia" w:ascii="宋体" w:hAnsi="宋体" w:eastAsia="宋体" w:cs="宋体"/>
          <w:bCs/>
          <w:sz w:val="28"/>
          <w:szCs w:val="28"/>
        </w:rPr>
        <w:fldChar w:fldCharType="separate"/>
      </w:r>
      <w:r>
        <w:rPr>
          <w:rFonts w:hint="eastAsia" w:ascii="宋体" w:hAnsi="宋体" w:eastAsia="宋体" w:cs="宋体"/>
          <w:bCs w:val="0"/>
          <w:sz w:val="28"/>
          <w:szCs w:val="28"/>
          <w:lang w:val="zh-CN" w:eastAsia="zh-CN"/>
        </w:rPr>
        <w:t>四、商务要求</w:t>
      </w:r>
      <w:r>
        <w:rPr>
          <w:rFonts w:hint="eastAsia" w:ascii="宋体" w:hAnsi="宋体" w:eastAsia="宋体" w:cs="宋体"/>
          <w:sz w:val="28"/>
          <w:szCs w:val="28"/>
        </w:rPr>
        <w:tab/>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PAGEREF _Toc13810 \h </w:instrText>
      </w:r>
      <w:r>
        <w:rPr>
          <w:rFonts w:hint="eastAsia" w:ascii="宋体" w:hAnsi="宋体" w:eastAsia="宋体" w:cs="宋体"/>
          <w:sz w:val="28"/>
          <w:szCs w:val="28"/>
        </w:rPr>
        <w:fldChar w:fldCharType="separate"/>
      </w:r>
      <w:r>
        <w:rPr>
          <w:rFonts w:hint="eastAsia" w:ascii="宋体" w:hAnsi="宋体" w:eastAsia="宋体" w:cs="宋体"/>
          <w:sz w:val="28"/>
          <w:szCs w:val="28"/>
        </w:rPr>
        <w:t>4</w:t>
      </w:r>
      <w:r>
        <w:rPr>
          <w:rFonts w:hint="eastAsia" w:ascii="宋体" w:hAnsi="宋体" w:eastAsia="宋体" w:cs="宋体"/>
          <w:sz w:val="28"/>
          <w:szCs w:val="28"/>
        </w:rPr>
        <w:fldChar w:fldCharType="end"/>
      </w:r>
      <w:r>
        <w:rPr>
          <w:rFonts w:hint="eastAsia" w:ascii="宋体" w:hAnsi="宋体" w:eastAsia="宋体" w:cs="宋体"/>
          <w:bCs/>
          <w:sz w:val="28"/>
          <w:szCs w:val="28"/>
        </w:rPr>
        <w:fldChar w:fldCharType="end"/>
      </w:r>
    </w:p>
    <w:p w14:paraId="1FA79501">
      <w:pPr>
        <w:pStyle w:val="14"/>
        <w:tabs>
          <w:tab w:val="right" w:leader="dot" w:pos="8300"/>
        </w:tabs>
        <w:spacing w:line="560" w:lineRule="exact"/>
        <w:rPr>
          <w:rFonts w:hint="eastAsia" w:ascii="宋体" w:hAnsi="宋体" w:eastAsia="宋体" w:cs="宋体"/>
          <w:sz w:val="28"/>
          <w:szCs w:val="28"/>
        </w:rPr>
      </w:pPr>
      <w:r>
        <w:rPr>
          <w:rFonts w:hint="eastAsia" w:ascii="宋体" w:hAnsi="宋体" w:eastAsia="宋体" w:cs="宋体"/>
          <w:bCs/>
          <w:sz w:val="28"/>
          <w:szCs w:val="28"/>
        </w:rPr>
        <w:fldChar w:fldCharType="begin"/>
      </w:r>
      <w:r>
        <w:rPr>
          <w:rFonts w:hint="eastAsia" w:ascii="宋体" w:hAnsi="宋体" w:eastAsia="宋体" w:cs="宋体"/>
          <w:bCs/>
          <w:sz w:val="28"/>
          <w:szCs w:val="28"/>
        </w:rPr>
        <w:instrText xml:space="preserve"> HYPERLINK \l _Toc22217 </w:instrText>
      </w:r>
      <w:r>
        <w:rPr>
          <w:rFonts w:hint="eastAsia" w:ascii="宋体" w:hAnsi="宋体" w:eastAsia="宋体" w:cs="宋体"/>
          <w:bCs/>
          <w:sz w:val="28"/>
          <w:szCs w:val="28"/>
        </w:rPr>
        <w:fldChar w:fldCharType="separate"/>
      </w:r>
      <w:r>
        <w:rPr>
          <w:rFonts w:hint="eastAsia" w:ascii="宋体" w:hAnsi="宋体" w:eastAsia="宋体" w:cs="宋体"/>
          <w:bCs w:val="0"/>
          <w:sz w:val="28"/>
          <w:szCs w:val="28"/>
        </w:rPr>
        <w:t>（一）付款方式和条件</w:t>
      </w:r>
      <w:r>
        <w:rPr>
          <w:rFonts w:hint="eastAsia" w:ascii="宋体" w:hAnsi="宋体" w:eastAsia="宋体" w:cs="宋体"/>
          <w:sz w:val="28"/>
          <w:szCs w:val="28"/>
        </w:rPr>
        <w:tab/>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PAGEREF _Toc22217 \h </w:instrText>
      </w:r>
      <w:r>
        <w:rPr>
          <w:rFonts w:hint="eastAsia" w:ascii="宋体" w:hAnsi="宋体" w:eastAsia="宋体" w:cs="宋体"/>
          <w:sz w:val="28"/>
          <w:szCs w:val="28"/>
        </w:rPr>
        <w:fldChar w:fldCharType="separate"/>
      </w:r>
      <w:r>
        <w:rPr>
          <w:rFonts w:hint="eastAsia" w:ascii="宋体" w:hAnsi="宋体" w:eastAsia="宋体" w:cs="宋体"/>
          <w:sz w:val="28"/>
          <w:szCs w:val="28"/>
        </w:rPr>
        <w:t>4</w:t>
      </w:r>
      <w:r>
        <w:rPr>
          <w:rFonts w:hint="eastAsia" w:ascii="宋体" w:hAnsi="宋体" w:eastAsia="宋体" w:cs="宋体"/>
          <w:sz w:val="28"/>
          <w:szCs w:val="28"/>
        </w:rPr>
        <w:fldChar w:fldCharType="end"/>
      </w:r>
      <w:r>
        <w:rPr>
          <w:rFonts w:hint="eastAsia" w:ascii="宋体" w:hAnsi="宋体" w:eastAsia="宋体" w:cs="宋体"/>
          <w:bCs/>
          <w:sz w:val="28"/>
          <w:szCs w:val="28"/>
        </w:rPr>
        <w:fldChar w:fldCharType="end"/>
      </w:r>
    </w:p>
    <w:p w14:paraId="4CBF2D90">
      <w:pPr>
        <w:pStyle w:val="14"/>
        <w:tabs>
          <w:tab w:val="right" w:leader="dot" w:pos="8300"/>
        </w:tabs>
        <w:spacing w:line="560" w:lineRule="exact"/>
        <w:rPr>
          <w:rFonts w:hint="eastAsia" w:ascii="宋体" w:hAnsi="宋体" w:eastAsia="宋体" w:cs="宋体"/>
          <w:sz w:val="28"/>
          <w:szCs w:val="28"/>
        </w:rPr>
      </w:pPr>
      <w:r>
        <w:rPr>
          <w:rFonts w:hint="eastAsia" w:ascii="宋体" w:hAnsi="宋体" w:eastAsia="宋体" w:cs="宋体"/>
          <w:bCs/>
          <w:sz w:val="28"/>
          <w:szCs w:val="28"/>
        </w:rPr>
        <w:fldChar w:fldCharType="begin"/>
      </w:r>
      <w:r>
        <w:rPr>
          <w:rFonts w:hint="eastAsia" w:ascii="宋体" w:hAnsi="宋体" w:eastAsia="宋体" w:cs="宋体"/>
          <w:bCs/>
          <w:sz w:val="28"/>
          <w:szCs w:val="28"/>
        </w:rPr>
        <w:instrText xml:space="preserve"> HYPERLINK \l _Toc11711 </w:instrText>
      </w:r>
      <w:r>
        <w:rPr>
          <w:rFonts w:hint="eastAsia" w:ascii="宋体" w:hAnsi="宋体" w:eastAsia="宋体" w:cs="宋体"/>
          <w:bCs/>
          <w:sz w:val="28"/>
          <w:szCs w:val="28"/>
        </w:rPr>
        <w:fldChar w:fldCharType="separate"/>
      </w:r>
      <w:r>
        <w:rPr>
          <w:rFonts w:hint="eastAsia" w:ascii="宋体" w:hAnsi="宋体" w:eastAsia="宋体" w:cs="宋体"/>
          <w:bCs w:val="0"/>
          <w:sz w:val="28"/>
          <w:szCs w:val="28"/>
        </w:rPr>
        <w:t>（二）</w:t>
      </w:r>
      <w:r>
        <w:rPr>
          <w:rFonts w:hint="eastAsia" w:ascii="宋体" w:hAnsi="宋体" w:eastAsia="宋体" w:cs="宋体"/>
          <w:bCs w:val="0"/>
          <w:sz w:val="28"/>
          <w:szCs w:val="28"/>
          <w:lang w:eastAsia="zh-CN"/>
        </w:rPr>
        <w:t>合作期</w:t>
      </w:r>
      <w:r>
        <w:rPr>
          <w:rFonts w:hint="eastAsia" w:ascii="宋体" w:hAnsi="宋体" w:eastAsia="宋体" w:cs="宋体"/>
          <w:bCs w:val="0"/>
          <w:sz w:val="28"/>
          <w:szCs w:val="28"/>
        </w:rPr>
        <w:t>限及地点</w:t>
      </w:r>
      <w:r>
        <w:rPr>
          <w:rFonts w:hint="eastAsia" w:ascii="宋体" w:hAnsi="宋体" w:eastAsia="宋体" w:cs="宋体"/>
          <w:sz w:val="28"/>
          <w:szCs w:val="28"/>
        </w:rPr>
        <w:tab/>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PAGEREF _Toc11711 \h </w:instrText>
      </w:r>
      <w:r>
        <w:rPr>
          <w:rFonts w:hint="eastAsia" w:ascii="宋体" w:hAnsi="宋体" w:eastAsia="宋体" w:cs="宋体"/>
          <w:sz w:val="28"/>
          <w:szCs w:val="28"/>
        </w:rPr>
        <w:fldChar w:fldCharType="separate"/>
      </w:r>
      <w:r>
        <w:rPr>
          <w:rFonts w:hint="eastAsia" w:ascii="宋体" w:hAnsi="宋体" w:eastAsia="宋体" w:cs="宋体"/>
          <w:sz w:val="28"/>
          <w:szCs w:val="28"/>
        </w:rPr>
        <w:t>5</w:t>
      </w:r>
      <w:r>
        <w:rPr>
          <w:rFonts w:hint="eastAsia" w:ascii="宋体" w:hAnsi="宋体" w:eastAsia="宋体" w:cs="宋体"/>
          <w:sz w:val="28"/>
          <w:szCs w:val="28"/>
        </w:rPr>
        <w:fldChar w:fldCharType="end"/>
      </w:r>
      <w:r>
        <w:rPr>
          <w:rFonts w:hint="eastAsia" w:ascii="宋体" w:hAnsi="宋体" w:eastAsia="宋体" w:cs="宋体"/>
          <w:bCs/>
          <w:sz w:val="28"/>
          <w:szCs w:val="28"/>
        </w:rPr>
        <w:fldChar w:fldCharType="end"/>
      </w:r>
    </w:p>
    <w:p w14:paraId="48954B1B">
      <w:pPr>
        <w:pStyle w:val="14"/>
        <w:tabs>
          <w:tab w:val="right" w:leader="dot" w:pos="8300"/>
        </w:tabs>
        <w:spacing w:line="560" w:lineRule="exact"/>
        <w:rPr>
          <w:rFonts w:hint="eastAsia" w:ascii="宋体" w:hAnsi="宋体" w:eastAsia="宋体" w:cs="宋体"/>
          <w:sz w:val="28"/>
          <w:szCs w:val="28"/>
        </w:rPr>
      </w:pPr>
      <w:r>
        <w:rPr>
          <w:rFonts w:hint="eastAsia" w:ascii="宋体" w:hAnsi="宋体" w:eastAsia="宋体" w:cs="宋体"/>
          <w:bCs/>
          <w:sz w:val="28"/>
          <w:szCs w:val="28"/>
        </w:rPr>
        <w:fldChar w:fldCharType="begin"/>
      </w:r>
      <w:r>
        <w:rPr>
          <w:rFonts w:hint="eastAsia" w:ascii="宋体" w:hAnsi="宋体" w:eastAsia="宋体" w:cs="宋体"/>
          <w:bCs/>
          <w:sz w:val="28"/>
          <w:szCs w:val="28"/>
        </w:rPr>
        <w:instrText xml:space="preserve"> HYPERLINK \l _Toc13021 </w:instrText>
      </w:r>
      <w:r>
        <w:rPr>
          <w:rFonts w:hint="eastAsia" w:ascii="宋体" w:hAnsi="宋体" w:eastAsia="宋体" w:cs="宋体"/>
          <w:bCs/>
          <w:sz w:val="28"/>
          <w:szCs w:val="28"/>
        </w:rPr>
        <w:fldChar w:fldCharType="separate"/>
      </w:r>
      <w:r>
        <w:rPr>
          <w:rFonts w:hint="eastAsia" w:ascii="宋体" w:hAnsi="宋体" w:eastAsia="宋体" w:cs="宋体"/>
          <w:bCs w:val="0"/>
          <w:sz w:val="28"/>
          <w:szCs w:val="28"/>
        </w:rPr>
        <w:t>（三）</w:t>
      </w:r>
      <w:r>
        <w:rPr>
          <w:rFonts w:hint="eastAsia" w:ascii="宋体" w:hAnsi="宋体" w:eastAsia="宋体" w:cs="宋体"/>
          <w:bCs w:val="0"/>
          <w:sz w:val="28"/>
          <w:szCs w:val="28"/>
          <w:lang w:eastAsia="zh-CN"/>
        </w:rPr>
        <w:t>招商</w:t>
      </w:r>
      <w:r>
        <w:rPr>
          <w:rFonts w:hint="eastAsia" w:ascii="宋体" w:hAnsi="宋体" w:eastAsia="宋体" w:cs="宋体"/>
          <w:bCs w:val="0"/>
          <w:sz w:val="28"/>
          <w:szCs w:val="28"/>
        </w:rPr>
        <w:t>报价要求</w:t>
      </w:r>
      <w:r>
        <w:rPr>
          <w:rFonts w:hint="eastAsia" w:ascii="宋体" w:hAnsi="宋体" w:eastAsia="宋体" w:cs="宋体"/>
          <w:sz w:val="28"/>
          <w:szCs w:val="28"/>
        </w:rPr>
        <w:tab/>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PAGEREF _Toc13021 \h </w:instrText>
      </w:r>
      <w:r>
        <w:rPr>
          <w:rFonts w:hint="eastAsia" w:ascii="宋体" w:hAnsi="宋体" w:eastAsia="宋体" w:cs="宋体"/>
          <w:sz w:val="28"/>
          <w:szCs w:val="28"/>
        </w:rPr>
        <w:fldChar w:fldCharType="separate"/>
      </w:r>
      <w:r>
        <w:rPr>
          <w:rFonts w:hint="eastAsia" w:ascii="宋体" w:hAnsi="宋体" w:eastAsia="宋体" w:cs="宋体"/>
          <w:sz w:val="28"/>
          <w:szCs w:val="28"/>
        </w:rPr>
        <w:t>5</w:t>
      </w:r>
      <w:r>
        <w:rPr>
          <w:rFonts w:hint="eastAsia" w:ascii="宋体" w:hAnsi="宋体" w:eastAsia="宋体" w:cs="宋体"/>
          <w:sz w:val="28"/>
          <w:szCs w:val="28"/>
        </w:rPr>
        <w:fldChar w:fldCharType="end"/>
      </w:r>
      <w:r>
        <w:rPr>
          <w:rFonts w:hint="eastAsia" w:ascii="宋体" w:hAnsi="宋体" w:eastAsia="宋体" w:cs="宋体"/>
          <w:bCs/>
          <w:sz w:val="28"/>
          <w:szCs w:val="28"/>
        </w:rPr>
        <w:fldChar w:fldCharType="end"/>
      </w:r>
    </w:p>
    <w:p w14:paraId="365E0839">
      <w:pPr>
        <w:pStyle w:val="14"/>
        <w:tabs>
          <w:tab w:val="right" w:leader="dot" w:pos="8300"/>
        </w:tabs>
        <w:spacing w:line="560" w:lineRule="exact"/>
        <w:rPr>
          <w:rFonts w:hint="eastAsia" w:ascii="宋体" w:hAnsi="宋体" w:eastAsia="宋体" w:cs="宋体"/>
          <w:sz w:val="28"/>
          <w:szCs w:val="28"/>
        </w:rPr>
      </w:pPr>
      <w:r>
        <w:rPr>
          <w:rFonts w:hint="eastAsia" w:ascii="宋体" w:hAnsi="宋体" w:eastAsia="宋体" w:cs="宋体"/>
          <w:bCs/>
          <w:sz w:val="28"/>
          <w:szCs w:val="28"/>
        </w:rPr>
        <w:fldChar w:fldCharType="begin"/>
      </w:r>
      <w:r>
        <w:rPr>
          <w:rFonts w:hint="eastAsia" w:ascii="宋体" w:hAnsi="宋体" w:eastAsia="宋体" w:cs="宋体"/>
          <w:bCs/>
          <w:sz w:val="28"/>
          <w:szCs w:val="28"/>
        </w:rPr>
        <w:instrText xml:space="preserve"> HYPERLINK \l _Toc8756 </w:instrText>
      </w:r>
      <w:r>
        <w:rPr>
          <w:rFonts w:hint="eastAsia" w:ascii="宋体" w:hAnsi="宋体" w:eastAsia="宋体" w:cs="宋体"/>
          <w:bCs/>
          <w:sz w:val="28"/>
          <w:szCs w:val="28"/>
        </w:rPr>
        <w:fldChar w:fldCharType="separate"/>
      </w:r>
      <w:r>
        <w:rPr>
          <w:rFonts w:hint="eastAsia" w:ascii="宋体" w:hAnsi="宋体" w:eastAsia="宋体" w:cs="宋体"/>
          <w:bCs w:val="0"/>
          <w:sz w:val="28"/>
          <w:szCs w:val="28"/>
          <w:lang w:val="en-US" w:eastAsia="zh-CN"/>
        </w:rPr>
        <w:t>（四）铜仁机场硬性指标要求</w:t>
      </w:r>
      <w:r>
        <w:rPr>
          <w:rFonts w:hint="eastAsia" w:ascii="宋体" w:hAnsi="宋体" w:eastAsia="宋体" w:cs="宋体"/>
          <w:sz w:val="28"/>
          <w:szCs w:val="28"/>
        </w:rPr>
        <w:tab/>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PAGEREF _Toc8756 \h </w:instrText>
      </w:r>
      <w:r>
        <w:rPr>
          <w:rFonts w:hint="eastAsia" w:ascii="宋体" w:hAnsi="宋体" w:eastAsia="宋体" w:cs="宋体"/>
          <w:sz w:val="28"/>
          <w:szCs w:val="28"/>
        </w:rPr>
        <w:fldChar w:fldCharType="separate"/>
      </w:r>
      <w:r>
        <w:rPr>
          <w:rFonts w:hint="eastAsia" w:ascii="宋体" w:hAnsi="宋体" w:eastAsia="宋体" w:cs="宋体"/>
          <w:sz w:val="28"/>
          <w:szCs w:val="28"/>
        </w:rPr>
        <w:t>6</w:t>
      </w:r>
      <w:r>
        <w:rPr>
          <w:rFonts w:hint="eastAsia" w:ascii="宋体" w:hAnsi="宋体" w:eastAsia="宋体" w:cs="宋体"/>
          <w:sz w:val="28"/>
          <w:szCs w:val="28"/>
        </w:rPr>
        <w:fldChar w:fldCharType="end"/>
      </w:r>
      <w:r>
        <w:rPr>
          <w:rFonts w:hint="eastAsia" w:ascii="宋体" w:hAnsi="宋体" w:eastAsia="宋体" w:cs="宋体"/>
          <w:bCs/>
          <w:sz w:val="28"/>
          <w:szCs w:val="28"/>
        </w:rPr>
        <w:fldChar w:fldCharType="end"/>
      </w:r>
    </w:p>
    <w:p w14:paraId="3BAE2596">
      <w:pPr>
        <w:pStyle w:val="14"/>
        <w:tabs>
          <w:tab w:val="right" w:leader="dot" w:pos="8300"/>
        </w:tabs>
        <w:spacing w:line="560" w:lineRule="exact"/>
        <w:rPr>
          <w:rFonts w:hint="eastAsia" w:ascii="宋体" w:hAnsi="宋体" w:eastAsia="宋体" w:cs="宋体"/>
          <w:sz w:val="28"/>
          <w:szCs w:val="28"/>
        </w:rPr>
      </w:pPr>
      <w:r>
        <w:rPr>
          <w:rFonts w:hint="eastAsia" w:ascii="宋体" w:hAnsi="宋体" w:eastAsia="宋体" w:cs="宋体"/>
          <w:bCs/>
          <w:sz w:val="28"/>
          <w:szCs w:val="28"/>
        </w:rPr>
        <w:fldChar w:fldCharType="begin"/>
      </w:r>
      <w:r>
        <w:rPr>
          <w:rFonts w:hint="eastAsia" w:ascii="宋体" w:hAnsi="宋体" w:eastAsia="宋体" w:cs="宋体"/>
          <w:bCs/>
          <w:sz w:val="28"/>
          <w:szCs w:val="28"/>
        </w:rPr>
        <w:instrText xml:space="preserve"> HYPERLINK \l _Toc16905 </w:instrText>
      </w:r>
      <w:r>
        <w:rPr>
          <w:rFonts w:hint="eastAsia" w:ascii="宋体" w:hAnsi="宋体" w:eastAsia="宋体" w:cs="宋体"/>
          <w:bCs/>
          <w:sz w:val="28"/>
          <w:szCs w:val="28"/>
        </w:rPr>
        <w:fldChar w:fldCharType="separate"/>
      </w:r>
      <w:r>
        <w:rPr>
          <w:rFonts w:hint="eastAsia" w:ascii="宋体" w:hAnsi="宋体" w:eastAsia="宋体" w:cs="宋体"/>
          <w:bCs w:val="0"/>
          <w:sz w:val="28"/>
          <w:szCs w:val="28"/>
          <w:highlight w:val="none"/>
          <w:lang w:val="en-US" w:eastAsia="zh-CN"/>
        </w:rPr>
        <w:t>（五）合同履约保证金要求</w:t>
      </w:r>
      <w:r>
        <w:rPr>
          <w:rFonts w:hint="eastAsia" w:ascii="宋体" w:hAnsi="宋体" w:eastAsia="宋体" w:cs="宋体"/>
          <w:sz w:val="28"/>
          <w:szCs w:val="28"/>
        </w:rPr>
        <w:tab/>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PAGEREF _Toc16905 \h </w:instrText>
      </w:r>
      <w:r>
        <w:rPr>
          <w:rFonts w:hint="eastAsia" w:ascii="宋体" w:hAnsi="宋体" w:eastAsia="宋体" w:cs="宋体"/>
          <w:sz w:val="28"/>
          <w:szCs w:val="28"/>
        </w:rPr>
        <w:fldChar w:fldCharType="separate"/>
      </w:r>
      <w:r>
        <w:rPr>
          <w:rFonts w:hint="eastAsia" w:ascii="宋体" w:hAnsi="宋体" w:eastAsia="宋体" w:cs="宋体"/>
          <w:sz w:val="28"/>
          <w:szCs w:val="28"/>
        </w:rPr>
        <w:t>7</w:t>
      </w:r>
      <w:r>
        <w:rPr>
          <w:rFonts w:hint="eastAsia" w:ascii="宋体" w:hAnsi="宋体" w:eastAsia="宋体" w:cs="宋体"/>
          <w:sz w:val="28"/>
          <w:szCs w:val="28"/>
        </w:rPr>
        <w:fldChar w:fldCharType="end"/>
      </w:r>
      <w:r>
        <w:rPr>
          <w:rFonts w:hint="eastAsia" w:ascii="宋体" w:hAnsi="宋体" w:eastAsia="宋体" w:cs="宋体"/>
          <w:bCs/>
          <w:sz w:val="28"/>
          <w:szCs w:val="28"/>
        </w:rPr>
        <w:fldChar w:fldCharType="end"/>
      </w:r>
    </w:p>
    <w:p w14:paraId="62F4FEB0">
      <w:pPr>
        <w:pStyle w:val="27"/>
        <w:tabs>
          <w:tab w:val="right" w:leader="dot" w:pos="8300"/>
        </w:tabs>
        <w:spacing w:line="560" w:lineRule="exact"/>
        <w:rPr>
          <w:rFonts w:hint="eastAsia" w:ascii="宋体" w:hAnsi="宋体" w:eastAsia="宋体" w:cs="宋体"/>
          <w:sz w:val="28"/>
          <w:szCs w:val="28"/>
        </w:rPr>
      </w:pPr>
      <w:r>
        <w:rPr>
          <w:rFonts w:hint="eastAsia" w:ascii="宋体" w:hAnsi="宋体" w:eastAsia="宋体" w:cs="宋体"/>
          <w:bCs/>
          <w:sz w:val="28"/>
          <w:szCs w:val="28"/>
        </w:rPr>
        <w:fldChar w:fldCharType="begin"/>
      </w:r>
      <w:r>
        <w:rPr>
          <w:rFonts w:hint="eastAsia" w:ascii="宋体" w:hAnsi="宋体" w:eastAsia="宋体" w:cs="宋体"/>
          <w:bCs/>
          <w:sz w:val="28"/>
          <w:szCs w:val="28"/>
        </w:rPr>
        <w:instrText xml:space="preserve"> HYPERLINK \l _Toc6954 </w:instrText>
      </w:r>
      <w:r>
        <w:rPr>
          <w:rFonts w:hint="eastAsia" w:ascii="宋体" w:hAnsi="宋体" w:eastAsia="宋体" w:cs="宋体"/>
          <w:bCs/>
          <w:sz w:val="28"/>
          <w:szCs w:val="28"/>
        </w:rPr>
        <w:fldChar w:fldCharType="separate"/>
      </w:r>
      <w:r>
        <w:rPr>
          <w:rFonts w:hint="eastAsia" w:ascii="宋体" w:hAnsi="宋体" w:eastAsia="宋体" w:cs="宋体"/>
          <w:bCs w:val="0"/>
          <w:sz w:val="28"/>
          <w:szCs w:val="28"/>
          <w:lang w:val="en-US" w:eastAsia="zh-CN"/>
        </w:rPr>
        <w:t>五、意向</w:t>
      </w:r>
      <w:r>
        <w:rPr>
          <w:rFonts w:hint="eastAsia" w:ascii="宋体" w:hAnsi="宋体" w:eastAsia="宋体" w:cs="宋体"/>
          <w:bCs w:val="0"/>
          <w:kern w:val="2"/>
          <w:sz w:val="28"/>
          <w:szCs w:val="28"/>
          <w:lang w:val="en-US" w:eastAsia="zh-CN"/>
        </w:rPr>
        <w:t>投建方条件</w:t>
      </w:r>
      <w:r>
        <w:rPr>
          <w:rFonts w:hint="eastAsia" w:ascii="宋体" w:hAnsi="宋体" w:eastAsia="宋体" w:cs="宋体"/>
          <w:sz w:val="28"/>
          <w:szCs w:val="28"/>
        </w:rPr>
        <w:tab/>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PAGEREF _Toc6954 \h </w:instrText>
      </w:r>
      <w:r>
        <w:rPr>
          <w:rFonts w:hint="eastAsia" w:ascii="宋体" w:hAnsi="宋体" w:eastAsia="宋体" w:cs="宋体"/>
          <w:sz w:val="28"/>
          <w:szCs w:val="28"/>
        </w:rPr>
        <w:fldChar w:fldCharType="separate"/>
      </w:r>
      <w:r>
        <w:rPr>
          <w:rFonts w:hint="eastAsia" w:ascii="宋体" w:hAnsi="宋体" w:eastAsia="宋体" w:cs="宋体"/>
          <w:sz w:val="28"/>
          <w:szCs w:val="28"/>
        </w:rPr>
        <w:t>8</w:t>
      </w:r>
      <w:r>
        <w:rPr>
          <w:rFonts w:hint="eastAsia" w:ascii="宋体" w:hAnsi="宋体" w:eastAsia="宋体" w:cs="宋体"/>
          <w:sz w:val="28"/>
          <w:szCs w:val="28"/>
        </w:rPr>
        <w:fldChar w:fldCharType="end"/>
      </w:r>
      <w:r>
        <w:rPr>
          <w:rFonts w:hint="eastAsia" w:ascii="宋体" w:hAnsi="宋体" w:eastAsia="宋体" w:cs="宋体"/>
          <w:bCs/>
          <w:sz w:val="28"/>
          <w:szCs w:val="28"/>
        </w:rPr>
        <w:fldChar w:fldCharType="end"/>
      </w:r>
    </w:p>
    <w:p w14:paraId="5B617F3A">
      <w:pPr>
        <w:pStyle w:val="14"/>
        <w:tabs>
          <w:tab w:val="right" w:leader="dot" w:pos="8300"/>
        </w:tabs>
        <w:spacing w:line="560" w:lineRule="exact"/>
        <w:rPr>
          <w:rFonts w:hint="eastAsia" w:ascii="宋体" w:hAnsi="宋体" w:eastAsia="宋体" w:cs="宋体"/>
          <w:sz w:val="28"/>
          <w:szCs w:val="28"/>
        </w:rPr>
      </w:pPr>
      <w:r>
        <w:rPr>
          <w:rFonts w:hint="eastAsia" w:ascii="宋体" w:hAnsi="宋体" w:eastAsia="宋体" w:cs="宋体"/>
          <w:bCs/>
          <w:sz w:val="28"/>
          <w:szCs w:val="28"/>
        </w:rPr>
        <w:fldChar w:fldCharType="begin"/>
      </w:r>
      <w:r>
        <w:rPr>
          <w:rFonts w:hint="eastAsia" w:ascii="宋体" w:hAnsi="宋体" w:eastAsia="宋体" w:cs="宋体"/>
          <w:bCs/>
          <w:sz w:val="28"/>
          <w:szCs w:val="28"/>
        </w:rPr>
        <w:instrText xml:space="preserve"> HYPERLINK \l _Toc8025 </w:instrText>
      </w:r>
      <w:r>
        <w:rPr>
          <w:rFonts w:hint="eastAsia" w:ascii="宋体" w:hAnsi="宋体" w:eastAsia="宋体" w:cs="宋体"/>
          <w:bCs/>
          <w:sz w:val="28"/>
          <w:szCs w:val="28"/>
        </w:rPr>
        <w:fldChar w:fldCharType="separate"/>
      </w:r>
      <w:r>
        <w:rPr>
          <w:rFonts w:hint="eastAsia" w:ascii="宋体" w:hAnsi="宋体" w:eastAsia="宋体" w:cs="宋体"/>
          <w:bCs w:val="0"/>
          <w:sz w:val="28"/>
          <w:szCs w:val="28"/>
        </w:rPr>
        <w:t>（一）</w:t>
      </w:r>
      <w:r>
        <w:rPr>
          <w:rFonts w:hint="eastAsia" w:ascii="宋体" w:hAnsi="宋体" w:eastAsia="宋体" w:cs="宋体"/>
          <w:bCs w:val="0"/>
          <w:sz w:val="28"/>
          <w:szCs w:val="28"/>
          <w:lang w:eastAsia="zh-CN"/>
        </w:rPr>
        <w:t>意向投建方</w:t>
      </w:r>
      <w:r>
        <w:rPr>
          <w:rFonts w:hint="eastAsia" w:ascii="宋体" w:hAnsi="宋体" w:eastAsia="宋体" w:cs="宋体"/>
          <w:bCs w:val="0"/>
          <w:sz w:val="28"/>
          <w:szCs w:val="28"/>
        </w:rPr>
        <w:t>需提供以下材料</w:t>
      </w:r>
      <w:r>
        <w:rPr>
          <w:rFonts w:hint="eastAsia" w:ascii="宋体" w:hAnsi="宋体" w:eastAsia="宋体" w:cs="宋体"/>
          <w:sz w:val="28"/>
          <w:szCs w:val="28"/>
        </w:rPr>
        <w:tab/>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PAGEREF _Toc8025 \h </w:instrText>
      </w:r>
      <w:r>
        <w:rPr>
          <w:rFonts w:hint="eastAsia" w:ascii="宋体" w:hAnsi="宋体" w:eastAsia="宋体" w:cs="宋体"/>
          <w:sz w:val="28"/>
          <w:szCs w:val="28"/>
        </w:rPr>
        <w:fldChar w:fldCharType="separate"/>
      </w:r>
      <w:r>
        <w:rPr>
          <w:rFonts w:hint="eastAsia" w:ascii="宋体" w:hAnsi="宋体" w:eastAsia="宋体" w:cs="宋体"/>
          <w:sz w:val="28"/>
          <w:szCs w:val="28"/>
        </w:rPr>
        <w:t>8</w:t>
      </w:r>
      <w:r>
        <w:rPr>
          <w:rFonts w:hint="eastAsia" w:ascii="宋体" w:hAnsi="宋体" w:eastAsia="宋体" w:cs="宋体"/>
          <w:sz w:val="28"/>
          <w:szCs w:val="28"/>
        </w:rPr>
        <w:fldChar w:fldCharType="end"/>
      </w:r>
      <w:r>
        <w:rPr>
          <w:rFonts w:hint="eastAsia" w:ascii="宋体" w:hAnsi="宋体" w:eastAsia="宋体" w:cs="宋体"/>
          <w:bCs/>
          <w:sz w:val="28"/>
          <w:szCs w:val="28"/>
        </w:rPr>
        <w:fldChar w:fldCharType="end"/>
      </w:r>
    </w:p>
    <w:p w14:paraId="416BD78B">
      <w:pPr>
        <w:pStyle w:val="14"/>
        <w:tabs>
          <w:tab w:val="right" w:leader="dot" w:pos="8300"/>
        </w:tabs>
        <w:spacing w:line="560" w:lineRule="exact"/>
        <w:rPr>
          <w:rFonts w:hint="eastAsia" w:ascii="宋体" w:hAnsi="宋体" w:eastAsia="宋体" w:cs="宋体"/>
          <w:sz w:val="28"/>
          <w:szCs w:val="28"/>
        </w:rPr>
      </w:pPr>
      <w:r>
        <w:rPr>
          <w:rFonts w:hint="eastAsia" w:ascii="宋体" w:hAnsi="宋体" w:eastAsia="宋体" w:cs="宋体"/>
          <w:bCs/>
          <w:sz w:val="28"/>
          <w:szCs w:val="28"/>
        </w:rPr>
        <w:fldChar w:fldCharType="begin"/>
      </w:r>
      <w:r>
        <w:rPr>
          <w:rFonts w:hint="eastAsia" w:ascii="宋体" w:hAnsi="宋体" w:eastAsia="宋体" w:cs="宋体"/>
          <w:bCs/>
          <w:sz w:val="28"/>
          <w:szCs w:val="28"/>
        </w:rPr>
        <w:instrText xml:space="preserve"> HYPERLINK \l _Toc30663 </w:instrText>
      </w:r>
      <w:r>
        <w:rPr>
          <w:rFonts w:hint="eastAsia" w:ascii="宋体" w:hAnsi="宋体" w:eastAsia="宋体" w:cs="宋体"/>
          <w:bCs/>
          <w:sz w:val="28"/>
          <w:szCs w:val="28"/>
        </w:rPr>
        <w:fldChar w:fldCharType="separate"/>
      </w:r>
      <w:r>
        <w:rPr>
          <w:rFonts w:hint="eastAsia" w:ascii="宋体" w:hAnsi="宋体" w:eastAsia="宋体" w:cs="宋体"/>
          <w:bCs w:val="0"/>
          <w:sz w:val="28"/>
          <w:szCs w:val="28"/>
          <w:lang w:val="en-US" w:eastAsia="zh-CN"/>
        </w:rPr>
        <w:t>（二）材料要求</w:t>
      </w:r>
      <w:r>
        <w:rPr>
          <w:rFonts w:hint="eastAsia" w:ascii="宋体" w:hAnsi="宋体" w:eastAsia="宋体" w:cs="宋体"/>
          <w:sz w:val="28"/>
          <w:szCs w:val="28"/>
        </w:rPr>
        <w:tab/>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PAGEREF _Toc30663 \h </w:instrText>
      </w:r>
      <w:r>
        <w:rPr>
          <w:rFonts w:hint="eastAsia" w:ascii="宋体" w:hAnsi="宋体" w:eastAsia="宋体" w:cs="宋体"/>
          <w:sz w:val="28"/>
          <w:szCs w:val="28"/>
        </w:rPr>
        <w:fldChar w:fldCharType="separate"/>
      </w:r>
      <w:r>
        <w:rPr>
          <w:rFonts w:hint="eastAsia" w:ascii="宋体" w:hAnsi="宋体" w:eastAsia="宋体" w:cs="宋体"/>
          <w:sz w:val="28"/>
          <w:szCs w:val="28"/>
        </w:rPr>
        <w:t>8</w:t>
      </w:r>
      <w:r>
        <w:rPr>
          <w:rFonts w:hint="eastAsia" w:ascii="宋体" w:hAnsi="宋体" w:eastAsia="宋体" w:cs="宋体"/>
          <w:sz w:val="28"/>
          <w:szCs w:val="28"/>
        </w:rPr>
        <w:fldChar w:fldCharType="end"/>
      </w:r>
      <w:r>
        <w:rPr>
          <w:rFonts w:hint="eastAsia" w:ascii="宋体" w:hAnsi="宋体" w:eastAsia="宋体" w:cs="宋体"/>
          <w:bCs/>
          <w:sz w:val="28"/>
          <w:szCs w:val="28"/>
        </w:rPr>
        <w:fldChar w:fldCharType="end"/>
      </w:r>
    </w:p>
    <w:p w14:paraId="10AB71D8">
      <w:pPr>
        <w:pStyle w:val="27"/>
        <w:tabs>
          <w:tab w:val="right" w:leader="dot" w:pos="8300"/>
        </w:tabs>
        <w:spacing w:line="560" w:lineRule="exact"/>
        <w:rPr>
          <w:rFonts w:hint="eastAsia" w:ascii="宋体" w:hAnsi="宋体" w:eastAsia="宋体" w:cs="宋体"/>
          <w:sz w:val="28"/>
          <w:szCs w:val="28"/>
        </w:rPr>
      </w:pPr>
      <w:r>
        <w:rPr>
          <w:rFonts w:hint="eastAsia" w:ascii="宋体" w:hAnsi="宋体" w:eastAsia="宋体" w:cs="宋体"/>
          <w:bCs/>
          <w:sz w:val="28"/>
          <w:szCs w:val="28"/>
        </w:rPr>
        <w:fldChar w:fldCharType="begin"/>
      </w:r>
      <w:r>
        <w:rPr>
          <w:rFonts w:hint="eastAsia" w:ascii="宋体" w:hAnsi="宋体" w:eastAsia="宋体" w:cs="宋体"/>
          <w:bCs/>
          <w:sz w:val="28"/>
          <w:szCs w:val="28"/>
        </w:rPr>
        <w:instrText xml:space="preserve"> HYPERLINK \l _Toc17529 </w:instrText>
      </w:r>
      <w:r>
        <w:rPr>
          <w:rFonts w:hint="eastAsia" w:ascii="宋体" w:hAnsi="宋体" w:eastAsia="宋体" w:cs="宋体"/>
          <w:bCs/>
          <w:sz w:val="28"/>
          <w:szCs w:val="28"/>
        </w:rPr>
        <w:fldChar w:fldCharType="separate"/>
      </w:r>
      <w:r>
        <w:rPr>
          <w:rFonts w:hint="eastAsia" w:ascii="宋体" w:hAnsi="宋体" w:eastAsia="宋体" w:cs="宋体"/>
          <w:bCs w:val="0"/>
          <w:sz w:val="28"/>
          <w:szCs w:val="28"/>
          <w:lang w:val="en-US" w:eastAsia="zh-CN"/>
        </w:rPr>
        <w:t>六、项目评分办法</w:t>
      </w:r>
      <w:r>
        <w:rPr>
          <w:rFonts w:hint="eastAsia" w:ascii="宋体" w:hAnsi="宋体" w:eastAsia="宋体" w:cs="宋体"/>
          <w:sz w:val="28"/>
          <w:szCs w:val="28"/>
        </w:rPr>
        <w:tab/>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PAGEREF _Toc17529 \h </w:instrText>
      </w:r>
      <w:r>
        <w:rPr>
          <w:rFonts w:hint="eastAsia" w:ascii="宋体" w:hAnsi="宋体" w:eastAsia="宋体" w:cs="宋体"/>
          <w:sz w:val="28"/>
          <w:szCs w:val="28"/>
        </w:rPr>
        <w:fldChar w:fldCharType="separate"/>
      </w:r>
      <w:r>
        <w:rPr>
          <w:rFonts w:hint="eastAsia" w:ascii="宋体" w:hAnsi="宋体" w:eastAsia="宋体" w:cs="宋体"/>
          <w:sz w:val="28"/>
          <w:szCs w:val="28"/>
        </w:rPr>
        <w:t>9</w:t>
      </w:r>
      <w:r>
        <w:rPr>
          <w:rFonts w:hint="eastAsia" w:ascii="宋体" w:hAnsi="宋体" w:eastAsia="宋体" w:cs="宋体"/>
          <w:sz w:val="28"/>
          <w:szCs w:val="28"/>
        </w:rPr>
        <w:fldChar w:fldCharType="end"/>
      </w:r>
      <w:r>
        <w:rPr>
          <w:rFonts w:hint="eastAsia" w:ascii="宋体" w:hAnsi="宋体" w:eastAsia="宋体" w:cs="宋体"/>
          <w:bCs/>
          <w:sz w:val="28"/>
          <w:szCs w:val="28"/>
        </w:rPr>
        <w:fldChar w:fldCharType="end"/>
      </w:r>
    </w:p>
    <w:p w14:paraId="76C8863E">
      <w:pPr>
        <w:pStyle w:val="14"/>
        <w:tabs>
          <w:tab w:val="right" w:leader="dot" w:pos="8300"/>
        </w:tabs>
        <w:spacing w:line="560" w:lineRule="exact"/>
        <w:rPr>
          <w:rFonts w:hint="eastAsia" w:ascii="宋体" w:hAnsi="宋体" w:eastAsia="宋体" w:cs="宋体"/>
          <w:sz w:val="28"/>
          <w:szCs w:val="28"/>
        </w:rPr>
      </w:pPr>
      <w:r>
        <w:rPr>
          <w:rFonts w:hint="eastAsia" w:ascii="宋体" w:hAnsi="宋体" w:eastAsia="宋体" w:cs="宋体"/>
          <w:bCs/>
          <w:sz w:val="28"/>
          <w:szCs w:val="28"/>
        </w:rPr>
        <w:fldChar w:fldCharType="begin"/>
      </w:r>
      <w:r>
        <w:rPr>
          <w:rFonts w:hint="eastAsia" w:ascii="宋体" w:hAnsi="宋体" w:eastAsia="宋体" w:cs="宋体"/>
          <w:bCs/>
          <w:sz w:val="28"/>
          <w:szCs w:val="28"/>
        </w:rPr>
        <w:instrText xml:space="preserve"> HYPERLINK \l _Toc3490 </w:instrText>
      </w:r>
      <w:r>
        <w:rPr>
          <w:rFonts w:hint="eastAsia" w:ascii="宋体" w:hAnsi="宋体" w:eastAsia="宋体" w:cs="宋体"/>
          <w:bCs/>
          <w:sz w:val="28"/>
          <w:szCs w:val="28"/>
        </w:rPr>
        <w:fldChar w:fldCharType="separate"/>
      </w:r>
      <w:r>
        <w:rPr>
          <w:rFonts w:hint="eastAsia" w:ascii="宋体" w:hAnsi="宋体" w:eastAsia="宋体" w:cs="宋体"/>
          <w:bCs w:val="0"/>
          <w:sz w:val="28"/>
          <w:szCs w:val="28"/>
          <w:lang w:val="en-US" w:eastAsia="zh-CN"/>
        </w:rPr>
        <w:t>（一）评分方法</w:t>
      </w:r>
      <w:r>
        <w:rPr>
          <w:rFonts w:hint="eastAsia" w:ascii="宋体" w:hAnsi="宋体" w:eastAsia="宋体" w:cs="宋体"/>
          <w:sz w:val="28"/>
          <w:szCs w:val="28"/>
        </w:rPr>
        <w:tab/>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PAGEREF _Toc3490 \h </w:instrText>
      </w:r>
      <w:r>
        <w:rPr>
          <w:rFonts w:hint="eastAsia" w:ascii="宋体" w:hAnsi="宋体" w:eastAsia="宋体" w:cs="宋体"/>
          <w:sz w:val="28"/>
          <w:szCs w:val="28"/>
        </w:rPr>
        <w:fldChar w:fldCharType="separate"/>
      </w:r>
      <w:r>
        <w:rPr>
          <w:rFonts w:hint="eastAsia" w:ascii="宋体" w:hAnsi="宋体" w:eastAsia="宋体" w:cs="宋体"/>
          <w:sz w:val="28"/>
          <w:szCs w:val="28"/>
        </w:rPr>
        <w:t>9</w:t>
      </w:r>
      <w:r>
        <w:rPr>
          <w:rFonts w:hint="eastAsia" w:ascii="宋体" w:hAnsi="宋体" w:eastAsia="宋体" w:cs="宋体"/>
          <w:sz w:val="28"/>
          <w:szCs w:val="28"/>
        </w:rPr>
        <w:fldChar w:fldCharType="end"/>
      </w:r>
      <w:r>
        <w:rPr>
          <w:rFonts w:hint="eastAsia" w:ascii="宋体" w:hAnsi="宋体" w:eastAsia="宋体" w:cs="宋体"/>
          <w:bCs/>
          <w:sz w:val="28"/>
          <w:szCs w:val="28"/>
        </w:rPr>
        <w:fldChar w:fldCharType="end"/>
      </w:r>
    </w:p>
    <w:p w14:paraId="1BBCAC69">
      <w:pPr>
        <w:pStyle w:val="14"/>
        <w:tabs>
          <w:tab w:val="right" w:leader="dot" w:pos="8300"/>
        </w:tabs>
        <w:spacing w:line="560" w:lineRule="exact"/>
        <w:rPr>
          <w:rFonts w:hint="eastAsia" w:ascii="宋体" w:hAnsi="宋体" w:eastAsia="宋体" w:cs="宋体"/>
          <w:sz w:val="28"/>
          <w:szCs w:val="28"/>
        </w:rPr>
      </w:pPr>
      <w:r>
        <w:rPr>
          <w:rFonts w:hint="eastAsia" w:ascii="宋体" w:hAnsi="宋体" w:eastAsia="宋体" w:cs="宋体"/>
          <w:bCs/>
          <w:sz w:val="28"/>
          <w:szCs w:val="28"/>
        </w:rPr>
        <w:fldChar w:fldCharType="begin"/>
      </w:r>
      <w:r>
        <w:rPr>
          <w:rFonts w:hint="eastAsia" w:ascii="宋体" w:hAnsi="宋体" w:eastAsia="宋体" w:cs="宋体"/>
          <w:bCs/>
          <w:sz w:val="28"/>
          <w:szCs w:val="28"/>
        </w:rPr>
        <w:instrText xml:space="preserve"> HYPERLINK \l _Toc20696 </w:instrText>
      </w:r>
      <w:r>
        <w:rPr>
          <w:rFonts w:hint="eastAsia" w:ascii="宋体" w:hAnsi="宋体" w:eastAsia="宋体" w:cs="宋体"/>
          <w:bCs/>
          <w:sz w:val="28"/>
          <w:szCs w:val="28"/>
        </w:rPr>
        <w:fldChar w:fldCharType="separate"/>
      </w:r>
      <w:r>
        <w:rPr>
          <w:rFonts w:hint="eastAsia" w:ascii="宋体" w:hAnsi="宋体" w:eastAsia="宋体" w:cs="宋体"/>
          <w:bCs w:val="0"/>
          <w:sz w:val="28"/>
          <w:szCs w:val="28"/>
          <w:lang w:val="en-US" w:eastAsia="zh-CN"/>
        </w:rPr>
        <w:t>（二）评分细则及标准</w:t>
      </w:r>
      <w:r>
        <w:rPr>
          <w:rFonts w:hint="eastAsia" w:ascii="宋体" w:hAnsi="宋体" w:eastAsia="宋体" w:cs="宋体"/>
          <w:sz w:val="28"/>
          <w:szCs w:val="28"/>
        </w:rPr>
        <w:tab/>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PAGEREF _Toc20696 \h </w:instrText>
      </w:r>
      <w:r>
        <w:rPr>
          <w:rFonts w:hint="eastAsia" w:ascii="宋体" w:hAnsi="宋体" w:eastAsia="宋体" w:cs="宋体"/>
          <w:sz w:val="28"/>
          <w:szCs w:val="28"/>
        </w:rPr>
        <w:fldChar w:fldCharType="separate"/>
      </w:r>
      <w:r>
        <w:rPr>
          <w:rFonts w:hint="eastAsia" w:ascii="宋体" w:hAnsi="宋体" w:eastAsia="宋体" w:cs="宋体"/>
          <w:sz w:val="28"/>
          <w:szCs w:val="28"/>
        </w:rPr>
        <w:t>9</w:t>
      </w:r>
      <w:r>
        <w:rPr>
          <w:rFonts w:hint="eastAsia" w:ascii="宋体" w:hAnsi="宋体" w:eastAsia="宋体" w:cs="宋体"/>
          <w:sz w:val="28"/>
          <w:szCs w:val="28"/>
        </w:rPr>
        <w:fldChar w:fldCharType="end"/>
      </w:r>
      <w:r>
        <w:rPr>
          <w:rFonts w:hint="eastAsia" w:ascii="宋体" w:hAnsi="宋体" w:eastAsia="宋体" w:cs="宋体"/>
          <w:bCs/>
          <w:sz w:val="28"/>
          <w:szCs w:val="28"/>
        </w:rPr>
        <w:fldChar w:fldCharType="end"/>
      </w:r>
    </w:p>
    <w:p w14:paraId="258872A7">
      <w:pPr>
        <w:pStyle w:val="27"/>
        <w:tabs>
          <w:tab w:val="right" w:leader="dot" w:pos="8300"/>
        </w:tabs>
        <w:spacing w:line="560" w:lineRule="exact"/>
        <w:rPr>
          <w:rFonts w:hint="eastAsia" w:ascii="宋体" w:hAnsi="宋体" w:eastAsia="宋体" w:cs="宋体"/>
          <w:sz w:val="28"/>
          <w:szCs w:val="28"/>
        </w:rPr>
      </w:pPr>
      <w:r>
        <w:rPr>
          <w:rFonts w:hint="eastAsia" w:ascii="宋体" w:hAnsi="宋体" w:eastAsia="宋体" w:cs="宋体"/>
          <w:bCs/>
          <w:sz w:val="28"/>
          <w:szCs w:val="28"/>
        </w:rPr>
        <w:fldChar w:fldCharType="begin"/>
      </w:r>
      <w:r>
        <w:rPr>
          <w:rFonts w:hint="eastAsia" w:ascii="宋体" w:hAnsi="宋体" w:eastAsia="宋体" w:cs="宋体"/>
          <w:bCs/>
          <w:sz w:val="28"/>
          <w:szCs w:val="28"/>
        </w:rPr>
        <w:instrText xml:space="preserve"> HYPERLINK \l _Toc26072 </w:instrText>
      </w:r>
      <w:r>
        <w:rPr>
          <w:rFonts w:hint="eastAsia" w:ascii="宋体" w:hAnsi="宋体" w:eastAsia="宋体" w:cs="宋体"/>
          <w:bCs/>
          <w:sz w:val="28"/>
          <w:szCs w:val="28"/>
        </w:rPr>
        <w:fldChar w:fldCharType="separate"/>
      </w:r>
      <w:r>
        <w:rPr>
          <w:rFonts w:hint="eastAsia" w:ascii="宋体" w:hAnsi="宋体" w:eastAsia="宋体" w:cs="宋体"/>
          <w:bCs w:val="0"/>
          <w:sz w:val="28"/>
          <w:szCs w:val="28"/>
          <w:lang w:val="en-US" w:eastAsia="zh-CN"/>
        </w:rPr>
        <w:t>七、技术服务要求</w:t>
      </w:r>
      <w:r>
        <w:rPr>
          <w:rFonts w:hint="eastAsia" w:ascii="宋体" w:hAnsi="宋体" w:eastAsia="宋体" w:cs="宋体"/>
          <w:sz w:val="28"/>
          <w:szCs w:val="28"/>
        </w:rPr>
        <w:tab/>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PAGEREF _Toc26072 \h </w:instrText>
      </w:r>
      <w:r>
        <w:rPr>
          <w:rFonts w:hint="eastAsia" w:ascii="宋体" w:hAnsi="宋体" w:eastAsia="宋体" w:cs="宋体"/>
          <w:sz w:val="28"/>
          <w:szCs w:val="28"/>
        </w:rPr>
        <w:fldChar w:fldCharType="separate"/>
      </w:r>
      <w:r>
        <w:rPr>
          <w:rFonts w:hint="eastAsia" w:ascii="宋体" w:hAnsi="宋体" w:eastAsia="宋体" w:cs="宋体"/>
          <w:sz w:val="28"/>
          <w:szCs w:val="28"/>
        </w:rPr>
        <w:t>10</w:t>
      </w:r>
      <w:r>
        <w:rPr>
          <w:rFonts w:hint="eastAsia" w:ascii="宋体" w:hAnsi="宋体" w:eastAsia="宋体" w:cs="宋体"/>
          <w:sz w:val="28"/>
          <w:szCs w:val="28"/>
        </w:rPr>
        <w:fldChar w:fldCharType="end"/>
      </w:r>
      <w:r>
        <w:rPr>
          <w:rFonts w:hint="eastAsia" w:ascii="宋体" w:hAnsi="宋体" w:eastAsia="宋体" w:cs="宋体"/>
          <w:bCs/>
          <w:sz w:val="28"/>
          <w:szCs w:val="28"/>
        </w:rPr>
        <w:fldChar w:fldCharType="end"/>
      </w:r>
    </w:p>
    <w:p w14:paraId="7728A831">
      <w:pPr>
        <w:pStyle w:val="14"/>
        <w:tabs>
          <w:tab w:val="right" w:leader="dot" w:pos="8300"/>
        </w:tabs>
        <w:spacing w:line="560" w:lineRule="exact"/>
        <w:rPr>
          <w:rFonts w:hint="eastAsia" w:ascii="宋体" w:hAnsi="宋体" w:eastAsia="宋体" w:cs="宋体"/>
          <w:sz w:val="28"/>
          <w:szCs w:val="28"/>
        </w:rPr>
      </w:pPr>
      <w:r>
        <w:rPr>
          <w:rFonts w:hint="eastAsia" w:ascii="宋体" w:hAnsi="宋体" w:eastAsia="宋体" w:cs="宋体"/>
          <w:bCs/>
          <w:sz w:val="28"/>
          <w:szCs w:val="28"/>
        </w:rPr>
        <w:fldChar w:fldCharType="begin"/>
      </w:r>
      <w:r>
        <w:rPr>
          <w:rFonts w:hint="eastAsia" w:ascii="宋体" w:hAnsi="宋体" w:eastAsia="宋体" w:cs="宋体"/>
          <w:bCs/>
          <w:sz w:val="28"/>
          <w:szCs w:val="28"/>
        </w:rPr>
        <w:instrText xml:space="preserve"> HYPERLINK \l _Toc6879 </w:instrText>
      </w:r>
      <w:r>
        <w:rPr>
          <w:rFonts w:hint="eastAsia" w:ascii="宋体" w:hAnsi="宋体" w:eastAsia="宋体" w:cs="宋体"/>
          <w:bCs/>
          <w:sz w:val="28"/>
          <w:szCs w:val="28"/>
        </w:rPr>
        <w:fldChar w:fldCharType="separate"/>
      </w:r>
      <w:r>
        <w:rPr>
          <w:rFonts w:hint="eastAsia" w:ascii="宋体" w:hAnsi="宋体" w:eastAsia="宋体" w:cs="宋体"/>
          <w:bCs w:val="0"/>
          <w:sz w:val="28"/>
          <w:szCs w:val="28"/>
          <w:lang w:val="zh-CN" w:eastAsia="zh-CN"/>
        </w:rPr>
        <w:t>（一）项目概述及要求</w:t>
      </w:r>
      <w:r>
        <w:rPr>
          <w:rFonts w:hint="eastAsia" w:ascii="宋体" w:hAnsi="宋体" w:eastAsia="宋体" w:cs="宋体"/>
          <w:sz w:val="28"/>
          <w:szCs w:val="28"/>
        </w:rPr>
        <w:tab/>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PAGEREF _Toc6879 \h </w:instrText>
      </w:r>
      <w:r>
        <w:rPr>
          <w:rFonts w:hint="eastAsia" w:ascii="宋体" w:hAnsi="宋体" w:eastAsia="宋体" w:cs="宋体"/>
          <w:sz w:val="28"/>
          <w:szCs w:val="28"/>
        </w:rPr>
        <w:fldChar w:fldCharType="separate"/>
      </w:r>
      <w:r>
        <w:rPr>
          <w:rFonts w:hint="eastAsia" w:ascii="宋体" w:hAnsi="宋体" w:eastAsia="宋体" w:cs="宋体"/>
          <w:sz w:val="28"/>
          <w:szCs w:val="28"/>
        </w:rPr>
        <w:t>10</w:t>
      </w:r>
      <w:r>
        <w:rPr>
          <w:rFonts w:hint="eastAsia" w:ascii="宋体" w:hAnsi="宋体" w:eastAsia="宋体" w:cs="宋体"/>
          <w:sz w:val="28"/>
          <w:szCs w:val="28"/>
        </w:rPr>
        <w:fldChar w:fldCharType="end"/>
      </w:r>
      <w:r>
        <w:rPr>
          <w:rFonts w:hint="eastAsia" w:ascii="宋体" w:hAnsi="宋体" w:eastAsia="宋体" w:cs="宋体"/>
          <w:bCs/>
          <w:sz w:val="28"/>
          <w:szCs w:val="28"/>
        </w:rPr>
        <w:fldChar w:fldCharType="end"/>
      </w:r>
    </w:p>
    <w:p w14:paraId="088900D2">
      <w:pPr>
        <w:pStyle w:val="14"/>
        <w:tabs>
          <w:tab w:val="right" w:leader="dot" w:pos="8300"/>
        </w:tabs>
        <w:spacing w:line="560" w:lineRule="exact"/>
        <w:rPr>
          <w:rFonts w:hint="eastAsia" w:ascii="宋体" w:hAnsi="宋体" w:eastAsia="宋体" w:cs="宋体"/>
          <w:sz w:val="28"/>
          <w:szCs w:val="28"/>
        </w:rPr>
      </w:pPr>
      <w:r>
        <w:rPr>
          <w:rFonts w:hint="eastAsia" w:ascii="宋体" w:hAnsi="宋体" w:eastAsia="宋体" w:cs="宋体"/>
          <w:bCs/>
          <w:sz w:val="28"/>
          <w:szCs w:val="28"/>
        </w:rPr>
        <w:fldChar w:fldCharType="begin"/>
      </w:r>
      <w:r>
        <w:rPr>
          <w:rFonts w:hint="eastAsia" w:ascii="宋体" w:hAnsi="宋体" w:eastAsia="宋体" w:cs="宋体"/>
          <w:bCs/>
          <w:sz w:val="28"/>
          <w:szCs w:val="28"/>
        </w:rPr>
        <w:instrText xml:space="preserve"> HYPERLINK \l _Toc12263 </w:instrText>
      </w:r>
      <w:r>
        <w:rPr>
          <w:rFonts w:hint="eastAsia" w:ascii="宋体" w:hAnsi="宋体" w:eastAsia="宋体" w:cs="宋体"/>
          <w:bCs/>
          <w:sz w:val="28"/>
          <w:szCs w:val="28"/>
        </w:rPr>
        <w:fldChar w:fldCharType="separate"/>
      </w:r>
      <w:r>
        <w:rPr>
          <w:rFonts w:hint="eastAsia" w:ascii="宋体" w:hAnsi="宋体" w:eastAsia="宋体" w:cs="宋体"/>
          <w:bCs w:val="0"/>
          <w:sz w:val="28"/>
          <w:szCs w:val="28"/>
          <w:lang w:val="zh-CN" w:eastAsia="zh-CN"/>
        </w:rPr>
        <w:t>（二）工作范围</w:t>
      </w:r>
      <w:r>
        <w:rPr>
          <w:rFonts w:hint="eastAsia" w:ascii="宋体" w:hAnsi="宋体" w:eastAsia="宋体" w:cs="宋体"/>
          <w:sz w:val="28"/>
          <w:szCs w:val="28"/>
        </w:rPr>
        <w:tab/>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PAGEREF _Toc12263 \h </w:instrText>
      </w:r>
      <w:r>
        <w:rPr>
          <w:rFonts w:hint="eastAsia" w:ascii="宋体" w:hAnsi="宋体" w:eastAsia="宋体" w:cs="宋体"/>
          <w:sz w:val="28"/>
          <w:szCs w:val="28"/>
        </w:rPr>
        <w:fldChar w:fldCharType="separate"/>
      </w:r>
      <w:r>
        <w:rPr>
          <w:rFonts w:hint="eastAsia" w:ascii="宋体" w:hAnsi="宋体" w:eastAsia="宋体" w:cs="宋体"/>
          <w:sz w:val="28"/>
          <w:szCs w:val="28"/>
        </w:rPr>
        <w:t>11</w:t>
      </w:r>
      <w:r>
        <w:rPr>
          <w:rFonts w:hint="eastAsia" w:ascii="宋体" w:hAnsi="宋体" w:eastAsia="宋体" w:cs="宋体"/>
          <w:sz w:val="28"/>
          <w:szCs w:val="28"/>
        </w:rPr>
        <w:fldChar w:fldCharType="end"/>
      </w:r>
      <w:r>
        <w:rPr>
          <w:rFonts w:hint="eastAsia" w:ascii="宋体" w:hAnsi="宋体" w:eastAsia="宋体" w:cs="宋体"/>
          <w:bCs/>
          <w:sz w:val="28"/>
          <w:szCs w:val="28"/>
        </w:rPr>
        <w:fldChar w:fldCharType="end"/>
      </w:r>
    </w:p>
    <w:p w14:paraId="55F39C82">
      <w:pPr>
        <w:pStyle w:val="14"/>
        <w:tabs>
          <w:tab w:val="right" w:leader="dot" w:pos="8300"/>
        </w:tabs>
        <w:spacing w:line="560" w:lineRule="exact"/>
      </w:pPr>
      <w:r>
        <w:rPr>
          <w:rFonts w:hint="eastAsia" w:ascii="宋体" w:hAnsi="宋体" w:eastAsia="宋体" w:cs="宋体"/>
          <w:bCs/>
          <w:sz w:val="28"/>
          <w:szCs w:val="28"/>
        </w:rPr>
        <w:fldChar w:fldCharType="begin"/>
      </w:r>
      <w:r>
        <w:rPr>
          <w:rFonts w:hint="eastAsia" w:ascii="宋体" w:hAnsi="宋体" w:eastAsia="宋体" w:cs="宋体"/>
          <w:bCs/>
          <w:sz w:val="28"/>
          <w:szCs w:val="28"/>
        </w:rPr>
        <w:instrText xml:space="preserve"> HYPERLINK \l _Toc25574 </w:instrText>
      </w:r>
      <w:r>
        <w:rPr>
          <w:rFonts w:hint="eastAsia" w:ascii="宋体" w:hAnsi="宋体" w:eastAsia="宋体" w:cs="宋体"/>
          <w:bCs/>
          <w:sz w:val="28"/>
          <w:szCs w:val="28"/>
        </w:rPr>
        <w:fldChar w:fldCharType="separate"/>
      </w:r>
      <w:r>
        <w:rPr>
          <w:rFonts w:hint="eastAsia" w:ascii="宋体" w:hAnsi="宋体" w:eastAsia="宋体" w:cs="宋体"/>
          <w:bCs w:val="0"/>
          <w:sz w:val="28"/>
          <w:szCs w:val="28"/>
          <w:lang w:val="zh-CN" w:eastAsia="zh-CN"/>
        </w:rPr>
        <w:t>（三）主要设备技术要求</w:t>
      </w:r>
      <w:r>
        <w:rPr>
          <w:rFonts w:hint="eastAsia" w:ascii="宋体" w:hAnsi="宋体" w:eastAsia="宋体" w:cs="宋体"/>
          <w:sz w:val="28"/>
          <w:szCs w:val="28"/>
        </w:rPr>
        <w:tab/>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PAGEREF _Toc25574 \h </w:instrText>
      </w:r>
      <w:r>
        <w:rPr>
          <w:rFonts w:hint="eastAsia" w:ascii="宋体" w:hAnsi="宋体" w:eastAsia="宋体" w:cs="宋体"/>
          <w:sz w:val="28"/>
          <w:szCs w:val="28"/>
        </w:rPr>
        <w:fldChar w:fldCharType="separate"/>
      </w:r>
      <w:r>
        <w:rPr>
          <w:rFonts w:hint="eastAsia" w:ascii="宋体" w:hAnsi="宋体" w:eastAsia="宋体" w:cs="宋体"/>
          <w:sz w:val="28"/>
          <w:szCs w:val="28"/>
        </w:rPr>
        <w:t>14</w:t>
      </w:r>
      <w:r>
        <w:rPr>
          <w:rFonts w:hint="eastAsia" w:ascii="宋体" w:hAnsi="宋体" w:eastAsia="宋体" w:cs="宋体"/>
          <w:sz w:val="28"/>
          <w:szCs w:val="28"/>
        </w:rPr>
        <w:fldChar w:fldCharType="end"/>
      </w:r>
      <w:r>
        <w:rPr>
          <w:rFonts w:hint="eastAsia" w:ascii="宋体" w:hAnsi="宋体" w:eastAsia="宋体" w:cs="宋体"/>
          <w:bCs/>
          <w:sz w:val="28"/>
          <w:szCs w:val="28"/>
        </w:rPr>
        <w:fldChar w:fldCharType="end"/>
      </w:r>
    </w:p>
    <w:p w14:paraId="66E13640">
      <w:pPr>
        <w:jc w:val="center"/>
        <w:rPr>
          <w:rFonts w:hint="eastAsia" w:ascii="宋体" w:hAnsi="宋体" w:cs="宋体"/>
          <w:bCs/>
          <w:szCs w:val="36"/>
        </w:rPr>
      </w:pPr>
      <w:r>
        <w:rPr>
          <w:rFonts w:hint="eastAsia" w:ascii="宋体" w:hAnsi="宋体" w:cs="宋体"/>
          <w:bCs/>
        </w:rPr>
        <w:fldChar w:fldCharType="end"/>
      </w:r>
    </w:p>
    <w:p w14:paraId="378E5DF8">
      <w:pPr>
        <w:rPr>
          <w:rFonts w:hint="eastAsia"/>
        </w:rPr>
      </w:pPr>
    </w:p>
    <w:p w14:paraId="0D0B5ADA">
      <w:pPr>
        <w:jc w:val="center"/>
        <w:rPr>
          <w:rFonts w:hint="eastAsia"/>
          <w:b/>
          <w:bCs/>
          <w:sz w:val="44"/>
          <w:szCs w:val="44"/>
        </w:rPr>
      </w:pPr>
      <w:r>
        <w:rPr>
          <w:rFonts w:hint="eastAsia"/>
          <w:b/>
          <w:bCs/>
          <w:sz w:val="44"/>
          <w:szCs w:val="44"/>
          <w:lang w:eastAsia="zh-CN"/>
        </w:rPr>
        <w:t>贵州省铜仁</w:t>
      </w:r>
      <w:r>
        <w:rPr>
          <w:rFonts w:hint="eastAsia"/>
          <w:b/>
          <w:bCs/>
          <w:sz w:val="44"/>
          <w:szCs w:val="44"/>
          <w:lang w:val="en-US" w:eastAsia="zh-CN"/>
        </w:rPr>
        <w:t>凤凰</w:t>
      </w:r>
      <w:r>
        <w:rPr>
          <w:rFonts w:hint="eastAsia"/>
          <w:b/>
          <w:bCs/>
          <w:sz w:val="44"/>
          <w:szCs w:val="44"/>
          <w:lang w:eastAsia="zh-CN"/>
        </w:rPr>
        <w:t>机场有限责任公司推进“</w:t>
      </w:r>
      <w:r>
        <w:rPr>
          <w:rFonts w:hint="eastAsia"/>
          <w:b/>
          <w:bCs/>
          <w:sz w:val="44"/>
          <w:szCs w:val="44"/>
          <w:lang w:val="en-US" w:eastAsia="zh-CN"/>
        </w:rPr>
        <w:t>绿色机场</w:t>
      </w:r>
      <w:r>
        <w:rPr>
          <w:rFonts w:hint="eastAsia"/>
          <w:b/>
          <w:bCs/>
          <w:sz w:val="44"/>
          <w:szCs w:val="44"/>
          <w:lang w:eastAsia="zh-CN"/>
        </w:rPr>
        <w:t>”</w:t>
      </w:r>
      <w:r>
        <w:rPr>
          <w:rFonts w:hint="eastAsia"/>
          <w:b/>
          <w:bCs/>
          <w:sz w:val="44"/>
          <w:szCs w:val="44"/>
          <w:lang w:val="en-US" w:eastAsia="zh-CN"/>
        </w:rPr>
        <w:t>建设</w:t>
      </w:r>
      <w:r>
        <w:rPr>
          <w:rFonts w:hint="eastAsia"/>
          <w:b/>
          <w:bCs/>
          <w:sz w:val="44"/>
          <w:szCs w:val="44"/>
          <w:lang w:eastAsia="zh-CN"/>
        </w:rPr>
        <w:t>实施光伏项目公开招商方案</w:t>
      </w:r>
    </w:p>
    <w:p w14:paraId="4567ED19">
      <w:pPr>
        <w:pStyle w:val="3"/>
        <w:keepNext/>
        <w:keepLines/>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黑体" w:hAnsi="黑体" w:eastAsia="黑体" w:cs="黑体"/>
          <w:b w:val="0"/>
          <w:bCs w:val="0"/>
          <w:sz w:val="32"/>
          <w:szCs w:val="32"/>
          <w:lang w:val="zh-CN" w:eastAsia="zh-CN"/>
        </w:rPr>
      </w:pPr>
      <w:bookmarkStart w:id="4" w:name="_Toc7587"/>
      <w:bookmarkStart w:id="5" w:name="_Toc13326"/>
      <w:bookmarkStart w:id="6" w:name="_Toc25988"/>
      <w:bookmarkStart w:id="7" w:name="_Toc6887"/>
      <w:bookmarkStart w:id="8" w:name="_Toc19136"/>
      <w:bookmarkStart w:id="9" w:name="_Toc24766"/>
      <w:bookmarkStart w:id="10" w:name="_Toc18788"/>
    </w:p>
    <w:p w14:paraId="5E98E8B2">
      <w:pPr>
        <w:pStyle w:val="3"/>
        <w:keepNext/>
        <w:keepLines/>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黑体" w:hAnsi="黑体" w:eastAsia="黑体" w:cs="黑体"/>
          <w:b w:val="0"/>
          <w:bCs w:val="0"/>
          <w:sz w:val="32"/>
          <w:szCs w:val="32"/>
          <w:lang w:val="zh-CN" w:eastAsia="zh-CN"/>
        </w:rPr>
      </w:pPr>
      <w:bookmarkStart w:id="11" w:name="_Toc7978"/>
      <w:bookmarkStart w:id="12" w:name="_Toc27892"/>
      <w:bookmarkStart w:id="13" w:name="_Toc519"/>
      <w:bookmarkStart w:id="14" w:name="_Toc16017"/>
      <w:r>
        <w:rPr>
          <w:rFonts w:hint="eastAsia" w:ascii="黑体" w:hAnsi="黑体" w:eastAsia="黑体" w:cs="黑体"/>
          <w:b w:val="0"/>
          <w:bCs w:val="0"/>
          <w:sz w:val="32"/>
          <w:szCs w:val="32"/>
          <w:lang w:val="zh-CN" w:eastAsia="zh-CN"/>
        </w:rPr>
        <w:t>一、项目背景与目的</w:t>
      </w:r>
      <w:bookmarkEnd w:id="4"/>
      <w:bookmarkEnd w:id="5"/>
      <w:bookmarkEnd w:id="6"/>
      <w:bookmarkEnd w:id="7"/>
      <w:bookmarkEnd w:id="8"/>
      <w:bookmarkEnd w:id="9"/>
      <w:bookmarkEnd w:id="10"/>
      <w:bookmarkEnd w:id="11"/>
      <w:bookmarkEnd w:id="12"/>
      <w:bookmarkEnd w:id="13"/>
      <w:bookmarkEnd w:id="14"/>
    </w:p>
    <w:p w14:paraId="5D2AF8C3">
      <w:pPr>
        <w:pStyle w:val="2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DFDFE"/>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仿宋" w:hAnsi="仿宋" w:eastAsia="仿宋" w:cs="仿宋"/>
          <w:i w:val="0"/>
          <w:iCs w:val="0"/>
          <w:caps w:val="0"/>
          <w:color w:val="auto"/>
          <w:spacing w:val="0"/>
          <w:sz w:val="32"/>
          <w:szCs w:val="32"/>
          <w:shd w:val="clear" w:fill="FDFDFE"/>
          <w:lang w:val="en-US" w:eastAsia="zh-CN"/>
        </w:rPr>
      </w:pPr>
      <w:r>
        <w:rPr>
          <w:rFonts w:hint="eastAsia" w:ascii="仿宋" w:hAnsi="仿宋" w:eastAsia="仿宋" w:cs="仿宋"/>
          <w:i w:val="0"/>
          <w:iCs w:val="0"/>
          <w:caps w:val="0"/>
          <w:color w:val="auto"/>
          <w:spacing w:val="0"/>
          <w:sz w:val="32"/>
          <w:szCs w:val="32"/>
          <w:shd w:val="clear" w:fill="FDFDFE"/>
        </w:rPr>
        <w:t>随着全球能源结构的转型与可持续发展战略的深入实施，光伏产业作为新能源领域的核心组成部分，正迎来前所未有的发展机遇。为</w:t>
      </w:r>
      <w:r>
        <w:rPr>
          <w:rFonts w:hint="eastAsia" w:ascii="仿宋" w:hAnsi="仿宋" w:eastAsia="仿宋" w:cs="仿宋"/>
          <w:i w:val="0"/>
          <w:iCs w:val="0"/>
          <w:caps w:val="0"/>
          <w:color w:val="auto"/>
          <w:spacing w:val="0"/>
          <w:sz w:val="32"/>
          <w:szCs w:val="32"/>
          <w:shd w:val="clear" w:fill="FDFDFE"/>
          <w:lang w:val="en-US" w:eastAsia="zh-CN"/>
        </w:rPr>
        <w:t>积极响应民航局“平安、智慧、绿色、人文”四型机场建设号召，</w:t>
      </w:r>
      <w:r>
        <w:rPr>
          <w:rFonts w:hint="eastAsia" w:ascii="仿宋" w:hAnsi="仿宋" w:eastAsia="仿宋" w:cs="仿宋"/>
          <w:i w:val="0"/>
          <w:iCs w:val="0"/>
          <w:caps w:val="0"/>
          <w:color w:val="auto"/>
          <w:spacing w:val="0"/>
          <w:sz w:val="32"/>
          <w:szCs w:val="32"/>
          <w:shd w:val="clear" w:fill="FDFDFE"/>
        </w:rPr>
        <w:t>有效利用</w:t>
      </w:r>
      <w:r>
        <w:rPr>
          <w:rFonts w:hint="eastAsia" w:ascii="仿宋" w:hAnsi="仿宋" w:eastAsia="仿宋" w:cs="仿宋"/>
          <w:i w:val="0"/>
          <w:iCs w:val="0"/>
          <w:caps w:val="0"/>
          <w:color w:val="auto"/>
          <w:spacing w:val="0"/>
          <w:sz w:val="32"/>
          <w:szCs w:val="32"/>
          <w:shd w:val="clear" w:fill="FDFDFE"/>
          <w:lang w:eastAsia="zh-CN"/>
        </w:rPr>
        <w:t>铜仁机场</w:t>
      </w:r>
      <w:r>
        <w:rPr>
          <w:rFonts w:hint="eastAsia" w:ascii="仿宋" w:hAnsi="仿宋" w:eastAsia="仿宋" w:cs="仿宋"/>
          <w:i w:val="0"/>
          <w:iCs w:val="0"/>
          <w:caps w:val="0"/>
          <w:color w:val="auto"/>
          <w:spacing w:val="0"/>
          <w:sz w:val="32"/>
          <w:szCs w:val="32"/>
          <w:shd w:val="clear" w:fill="FDFDFE"/>
          <w:lang w:val="en-US" w:eastAsia="zh-CN"/>
        </w:rPr>
        <w:t>现有</w:t>
      </w:r>
      <w:r>
        <w:rPr>
          <w:rFonts w:hint="eastAsia" w:ascii="仿宋" w:hAnsi="仿宋" w:eastAsia="仿宋" w:cs="仿宋"/>
          <w:i w:val="0"/>
          <w:iCs w:val="0"/>
          <w:caps w:val="0"/>
          <w:color w:val="auto"/>
          <w:spacing w:val="0"/>
          <w:sz w:val="32"/>
          <w:szCs w:val="32"/>
          <w:shd w:val="clear" w:fill="FDFDFE"/>
        </w:rPr>
        <w:t>资源</w:t>
      </w:r>
      <w:r>
        <w:rPr>
          <w:rFonts w:hint="eastAsia" w:ascii="仿宋" w:hAnsi="仿宋" w:eastAsia="仿宋" w:cs="仿宋"/>
          <w:i w:val="0"/>
          <w:iCs w:val="0"/>
          <w:caps w:val="0"/>
          <w:color w:val="auto"/>
          <w:spacing w:val="0"/>
          <w:sz w:val="32"/>
          <w:szCs w:val="32"/>
          <w:shd w:val="clear" w:fill="FDFDFE"/>
          <w:lang w:val="en-US" w:eastAsia="zh-CN"/>
        </w:rPr>
        <w:t>发展绿色清洁能源项目</w:t>
      </w:r>
      <w:r>
        <w:rPr>
          <w:rFonts w:hint="eastAsia" w:ascii="仿宋" w:hAnsi="仿宋" w:eastAsia="仿宋" w:cs="仿宋"/>
          <w:i w:val="0"/>
          <w:iCs w:val="0"/>
          <w:caps w:val="0"/>
          <w:color w:val="auto"/>
          <w:spacing w:val="0"/>
          <w:sz w:val="32"/>
          <w:szCs w:val="32"/>
          <w:shd w:val="clear" w:fill="FDFDFE"/>
        </w:rPr>
        <w:t>，促进地方经济发展，提升能源利用效率，现面向市场公开招商，引进具有实力的光伏企业进行投资、建设与运营</w:t>
      </w:r>
      <w:r>
        <w:rPr>
          <w:rFonts w:hint="eastAsia" w:ascii="仿宋" w:hAnsi="仿宋" w:eastAsia="仿宋" w:cs="仿宋"/>
          <w:i w:val="0"/>
          <w:iCs w:val="0"/>
          <w:caps w:val="0"/>
          <w:color w:val="auto"/>
          <w:spacing w:val="0"/>
          <w:sz w:val="32"/>
          <w:szCs w:val="32"/>
          <w:shd w:val="clear" w:fill="FDFDFE"/>
          <w:lang w:eastAsia="zh-CN"/>
        </w:rPr>
        <w:t>铜仁机场光伏项目</w:t>
      </w:r>
      <w:r>
        <w:rPr>
          <w:rFonts w:hint="eastAsia" w:ascii="仿宋" w:hAnsi="仿宋" w:eastAsia="仿宋" w:cs="仿宋"/>
          <w:i w:val="0"/>
          <w:iCs w:val="0"/>
          <w:caps w:val="0"/>
          <w:color w:val="auto"/>
          <w:spacing w:val="0"/>
          <w:sz w:val="32"/>
          <w:szCs w:val="32"/>
          <w:shd w:val="clear" w:fill="FDFDFE"/>
        </w:rPr>
        <w:t>，并配套储能设施，实现绿色能源的高效开发与利用</w:t>
      </w:r>
      <w:r>
        <w:rPr>
          <w:rFonts w:hint="eastAsia" w:ascii="仿宋" w:hAnsi="仿宋" w:eastAsia="仿宋" w:cs="仿宋"/>
          <w:i w:val="0"/>
          <w:iCs w:val="0"/>
          <w:caps w:val="0"/>
          <w:color w:val="auto"/>
          <w:spacing w:val="0"/>
          <w:sz w:val="32"/>
          <w:szCs w:val="32"/>
          <w:shd w:val="clear" w:fill="FDFDFE"/>
          <w:lang w:val="en-US" w:eastAsia="zh-CN"/>
        </w:rPr>
        <w:t>。</w:t>
      </w:r>
    </w:p>
    <w:p w14:paraId="4B64464C">
      <w:pPr>
        <w:pStyle w:val="3"/>
        <w:keepNext/>
        <w:keepLines/>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黑体" w:hAnsi="黑体" w:eastAsia="黑体" w:cs="黑体"/>
          <w:b w:val="0"/>
          <w:bCs w:val="0"/>
          <w:sz w:val="32"/>
          <w:szCs w:val="32"/>
          <w:lang w:val="zh-CN" w:eastAsia="zh-CN"/>
        </w:rPr>
      </w:pPr>
      <w:bookmarkStart w:id="15" w:name="_Toc3842"/>
      <w:bookmarkStart w:id="16" w:name="_Toc25221"/>
      <w:bookmarkStart w:id="17" w:name="_Toc18997"/>
      <w:bookmarkStart w:id="18" w:name="_Toc18361"/>
      <w:bookmarkStart w:id="19" w:name="_Toc384"/>
      <w:bookmarkStart w:id="20" w:name="_Toc9756"/>
      <w:bookmarkStart w:id="21" w:name="_Toc18058"/>
      <w:bookmarkStart w:id="22" w:name="_Toc14831"/>
      <w:bookmarkStart w:id="23" w:name="_Toc23463"/>
      <w:bookmarkStart w:id="24" w:name="_Toc24986"/>
      <w:bookmarkStart w:id="25" w:name="_Toc17702"/>
      <w:r>
        <w:rPr>
          <w:rFonts w:hint="eastAsia" w:ascii="黑体" w:hAnsi="黑体" w:eastAsia="黑体" w:cs="黑体"/>
          <w:b w:val="0"/>
          <w:bCs w:val="0"/>
          <w:sz w:val="32"/>
          <w:szCs w:val="32"/>
          <w:lang w:val="zh-CN" w:eastAsia="zh-CN"/>
        </w:rPr>
        <w:t>二、项目概况</w:t>
      </w:r>
      <w:bookmarkEnd w:id="15"/>
      <w:bookmarkEnd w:id="16"/>
      <w:bookmarkEnd w:id="17"/>
      <w:bookmarkEnd w:id="18"/>
      <w:bookmarkEnd w:id="19"/>
      <w:bookmarkEnd w:id="20"/>
      <w:bookmarkEnd w:id="21"/>
      <w:bookmarkEnd w:id="22"/>
      <w:bookmarkEnd w:id="23"/>
      <w:bookmarkEnd w:id="24"/>
      <w:bookmarkEnd w:id="25"/>
    </w:p>
    <w:p w14:paraId="70AA573F">
      <w:pPr>
        <w:pStyle w:val="4"/>
        <w:keepNext/>
        <w:keepLines/>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楷体" w:hAnsi="楷体" w:eastAsia="楷体" w:cs="楷体"/>
          <w:b w:val="0"/>
          <w:bCs w:val="0"/>
          <w:sz w:val="32"/>
          <w:szCs w:val="32"/>
        </w:rPr>
      </w:pPr>
      <w:bookmarkStart w:id="26" w:name="_Toc22813"/>
      <w:bookmarkStart w:id="27" w:name="_Toc32652"/>
      <w:bookmarkStart w:id="28" w:name="_Toc31386"/>
      <w:bookmarkStart w:id="29" w:name="_Toc8415"/>
      <w:bookmarkStart w:id="30" w:name="_Toc11593"/>
      <w:bookmarkStart w:id="31" w:name="_Toc3008"/>
      <w:bookmarkStart w:id="32" w:name="_Toc1073"/>
      <w:bookmarkStart w:id="33" w:name="_Toc31416"/>
      <w:bookmarkStart w:id="34" w:name="_Toc25788"/>
      <w:bookmarkStart w:id="35" w:name="_Toc1634"/>
      <w:bookmarkStart w:id="36" w:name="_Toc22168"/>
      <w:r>
        <w:rPr>
          <w:rFonts w:hint="eastAsia" w:ascii="楷体" w:hAnsi="楷体" w:eastAsia="楷体" w:cs="楷体"/>
          <w:b w:val="0"/>
          <w:bCs w:val="0"/>
          <w:sz w:val="32"/>
          <w:szCs w:val="32"/>
          <w:lang w:val="en-US" w:eastAsia="zh-CN"/>
        </w:rPr>
        <w:t>（一）</w:t>
      </w:r>
      <w:r>
        <w:rPr>
          <w:rFonts w:hint="eastAsia" w:ascii="楷体" w:hAnsi="楷体" w:eastAsia="楷体" w:cs="楷体"/>
          <w:b w:val="0"/>
          <w:bCs w:val="0"/>
          <w:sz w:val="32"/>
          <w:szCs w:val="32"/>
        </w:rPr>
        <w:t>项目地点</w:t>
      </w:r>
      <w:bookmarkEnd w:id="26"/>
      <w:bookmarkEnd w:id="27"/>
      <w:bookmarkEnd w:id="28"/>
      <w:bookmarkEnd w:id="29"/>
      <w:bookmarkEnd w:id="30"/>
      <w:bookmarkEnd w:id="31"/>
      <w:bookmarkEnd w:id="32"/>
      <w:bookmarkEnd w:id="33"/>
      <w:bookmarkEnd w:id="34"/>
      <w:bookmarkEnd w:id="35"/>
      <w:bookmarkEnd w:id="36"/>
    </w:p>
    <w:p w14:paraId="42CF653C">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仿宋" w:hAnsi="仿宋" w:eastAsia="仿宋" w:cs="仿宋"/>
          <w:i w:val="0"/>
          <w:iCs w:val="0"/>
          <w:caps w:val="0"/>
          <w:color w:val="auto"/>
          <w:spacing w:val="0"/>
          <w:sz w:val="32"/>
          <w:szCs w:val="32"/>
          <w:shd w:val="clear" w:fill="FDFDFE"/>
          <w:lang w:eastAsia="zh-CN"/>
        </w:rPr>
      </w:pPr>
      <w:r>
        <w:rPr>
          <w:rFonts w:hint="eastAsia" w:ascii="仿宋" w:hAnsi="仿宋" w:eastAsia="仿宋" w:cs="仿宋"/>
          <w:i w:val="0"/>
          <w:iCs w:val="0"/>
          <w:caps w:val="0"/>
          <w:color w:val="auto"/>
          <w:spacing w:val="0"/>
          <w:sz w:val="32"/>
          <w:szCs w:val="32"/>
          <w:shd w:val="clear" w:fill="FDFDFE"/>
          <w:lang w:val="en-US" w:eastAsia="zh-CN"/>
        </w:rPr>
        <w:t>本项目位于铜仁凤凰机场。铜仁机场红线范围内土地面积共2700亩，土地产权完备。拟用于铜仁机场光伏项目土地面积约为690亩，项目土地使用年限不超过20年。铜仁机场光伏项目建设用地1#区域、2#区域、3#区域、4#区域及6#区域</w:t>
      </w:r>
      <w:r>
        <w:rPr>
          <w:rFonts w:hint="eastAsia" w:ascii="仿宋" w:hAnsi="仿宋" w:eastAsia="仿宋" w:cs="仿宋"/>
          <w:i w:val="0"/>
          <w:iCs w:val="0"/>
          <w:caps w:val="0"/>
          <w:color w:val="auto"/>
          <w:spacing w:val="0"/>
          <w:sz w:val="32"/>
          <w:szCs w:val="32"/>
          <w:shd w:val="clear" w:fill="FDFDFE"/>
        </w:rPr>
        <w:t>地势</w:t>
      </w:r>
      <w:r>
        <w:rPr>
          <w:rFonts w:hint="eastAsia" w:ascii="仿宋" w:hAnsi="仿宋" w:eastAsia="仿宋" w:cs="仿宋"/>
          <w:i w:val="0"/>
          <w:iCs w:val="0"/>
          <w:caps w:val="0"/>
          <w:color w:val="auto"/>
          <w:spacing w:val="0"/>
          <w:sz w:val="32"/>
          <w:szCs w:val="32"/>
          <w:shd w:val="clear" w:fill="FDFDFE"/>
          <w:lang w:eastAsia="zh-CN"/>
        </w:rPr>
        <w:t>总体</w:t>
      </w:r>
      <w:r>
        <w:rPr>
          <w:rFonts w:hint="eastAsia" w:ascii="仿宋" w:hAnsi="仿宋" w:eastAsia="仿宋" w:cs="仿宋"/>
          <w:i w:val="0"/>
          <w:iCs w:val="0"/>
          <w:caps w:val="0"/>
          <w:color w:val="auto"/>
          <w:spacing w:val="0"/>
          <w:sz w:val="32"/>
          <w:szCs w:val="32"/>
          <w:shd w:val="clear" w:fill="FDFDFE"/>
        </w:rPr>
        <w:t>平坦，</w:t>
      </w:r>
      <w:r>
        <w:rPr>
          <w:rFonts w:hint="eastAsia" w:ascii="仿宋" w:hAnsi="仿宋" w:eastAsia="仿宋" w:cs="仿宋"/>
          <w:i w:val="0"/>
          <w:iCs w:val="0"/>
          <w:caps w:val="0"/>
          <w:color w:val="auto"/>
          <w:spacing w:val="0"/>
          <w:sz w:val="32"/>
          <w:szCs w:val="32"/>
          <w:shd w:val="clear" w:fill="FDFDFE"/>
          <w:lang w:eastAsia="zh-CN"/>
        </w:rPr>
        <w:t>其中</w:t>
      </w:r>
      <w:r>
        <w:rPr>
          <w:rFonts w:hint="eastAsia" w:ascii="仿宋" w:hAnsi="仿宋" w:eastAsia="仿宋" w:cs="仿宋"/>
          <w:i w:val="0"/>
          <w:iCs w:val="0"/>
          <w:caps w:val="0"/>
          <w:color w:val="auto"/>
          <w:spacing w:val="0"/>
          <w:sz w:val="32"/>
          <w:szCs w:val="32"/>
          <w:shd w:val="clear" w:fill="FDFDFE"/>
          <w:lang w:val="en-US" w:eastAsia="zh-CN"/>
        </w:rPr>
        <w:t>5#区域</w:t>
      </w:r>
      <w:r>
        <w:rPr>
          <w:rFonts w:hint="eastAsia" w:ascii="仿宋" w:hAnsi="仿宋" w:eastAsia="仿宋" w:cs="仿宋"/>
          <w:i w:val="0"/>
          <w:iCs w:val="0"/>
          <w:caps w:val="0"/>
          <w:color w:val="auto"/>
          <w:spacing w:val="0"/>
          <w:sz w:val="32"/>
          <w:szCs w:val="32"/>
          <w:shd w:val="clear" w:fill="FDFDFE"/>
          <w:lang w:eastAsia="zh-CN"/>
        </w:rPr>
        <w:t>属于边坡，铜仁机场光伏项目所在区域</w:t>
      </w:r>
      <w:r>
        <w:rPr>
          <w:rFonts w:hint="eastAsia" w:ascii="仿宋" w:hAnsi="仿宋" w:eastAsia="仿宋" w:cs="仿宋"/>
          <w:i w:val="0"/>
          <w:iCs w:val="0"/>
          <w:caps w:val="0"/>
          <w:color w:val="auto"/>
          <w:spacing w:val="0"/>
          <w:sz w:val="32"/>
          <w:szCs w:val="32"/>
          <w:shd w:val="clear" w:fill="FDFDFE"/>
        </w:rPr>
        <w:t>光照充足，适宜光伏项目开发。</w:t>
      </w:r>
      <w:r>
        <w:rPr>
          <w:rFonts w:hint="eastAsia" w:ascii="仿宋" w:hAnsi="仿宋" w:eastAsia="仿宋" w:cs="仿宋"/>
          <w:i w:val="0"/>
          <w:iCs w:val="0"/>
          <w:caps w:val="0"/>
          <w:color w:val="auto"/>
          <w:spacing w:val="0"/>
          <w:sz w:val="32"/>
          <w:szCs w:val="32"/>
          <w:shd w:val="clear" w:fill="FDFDFE"/>
          <w:lang w:eastAsia="zh-CN"/>
        </w:rPr>
        <w:t>可用土地具体详见（附件</w:t>
      </w:r>
      <w:r>
        <w:rPr>
          <w:rFonts w:hint="eastAsia" w:ascii="仿宋" w:hAnsi="仿宋" w:eastAsia="仿宋" w:cs="仿宋"/>
          <w:sz w:val="32"/>
          <w:szCs w:val="32"/>
          <w:lang w:val="en-US" w:eastAsia="zh-CN"/>
        </w:rPr>
        <w:t>1、附件2、附件3）</w:t>
      </w:r>
    </w:p>
    <w:p w14:paraId="2CCD8769">
      <w:pPr>
        <w:pStyle w:val="4"/>
        <w:keepNext/>
        <w:keepLines/>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楷体" w:hAnsi="楷体" w:eastAsia="楷体" w:cs="楷体"/>
          <w:b w:val="0"/>
          <w:bCs w:val="0"/>
          <w:sz w:val="32"/>
          <w:szCs w:val="32"/>
          <w:lang w:val="en-US" w:eastAsia="zh-CN"/>
        </w:rPr>
      </w:pPr>
      <w:bookmarkStart w:id="37" w:name="_Toc13522"/>
      <w:bookmarkStart w:id="38" w:name="_Toc24949"/>
      <w:bookmarkStart w:id="39" w:name="_Toc24916"/>
      <w:bookmarkStart w:id="40" w:name="_Toc30633"/>
      <w:bookmarkStart w:id="41" w:name="_Toc18212"/>
      <w:bookmarkStart w:id="42" w:name="_Toc30725"/>
      <w:bookmarkStart w:id="43" w:name="_Toc6693"/>
      <w:bookmarkStart w:id="44" w:name="_Toc11690"/>
      <w:bookmarkStart w:id="45" w:name="_Toc27280"/>
      <w:bookmarkStart w:id="46" w:name="_Toc17771"/>
      <w:bookmarkStart w:id="47" w:name="_Toc13985"/>
      <w:r>
        <w:rPr>
          <w:rFonts w:hint="eastAsia" w:ascii="楷体" w:hAnsi="楷体" w:eastAsia="楷体" w:cs="楷体"/>
          <w:b w:val="0"/>
          <w:bCs w:val="0"/>
          <w:sz w:val="32"/>
          <w:szCs w:val="32"/>
          <w:lang w:val="en-US" w:eastAsia="zh-CN"/>
        </w:rPr>
        <w:t>（二）项目建设规模</w:t>
      </w:r>
      <w:bookmarkEnd w:id="37"/>
      <w:bookmarkEnd w:id="38"/>
      <w:bookmarkEnd w:id="39"/>
      <w:bookmarkEnd w:id="40"/>
      <w:bookmarkEnd w:id="41"/>
      <w:bookmarkEnd w:id="42"/>
      <w:bookmarkEnd w:id="43"/>
      <w:bookmarkEnd w:id="44"/>
      <w:bookmarkEnd w:id="45"/>
      <w:bookmarkEnd w:id="46"/>
      <w:bookmarkEnd w:id="47"/>
    </w:p>
    <w:p w14:paraId="47F530CF">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0" w:firstLineChars="200"/>
        <w:jc w:val="both"/>
        <w:textAlignment w:val="auto"/>
        <w:rPr>
          <w:rFonts w:hint="default" w:ascii="仿宋" w:hAnsi="仿宋" w:eastAsia="仿宋" w:cs="仿宋"/>
          <w:color w:val="auto"/>
          <w:sz w:val="32"/>
          <w:szCs w:val="32"/>
          <w:highlight w:val="none"/>
          <w:lang w:val="en-US" w:eastAsia="zh-CN"/>
        </w:rPr>
      </w:pPr>
      <w:r>
        <w:rPr>
          <w:rFonts w:hint="eastAsia" w:ascii="仿宋" w:hAnsi="仿宋" w:eastAsia="仿宋" w:cs="仿宋"/>
          <w:i w:val="0"/>
          <w:iCs w:val="0"/>
          <w:caps w:val="0"/>
          <w:color w:val="auto"/>
          <w:spacing w:val="0"/>
          <w:sz w:val="32"/>
          <w:szCs w:val="32"/>
          <w:shd w:val="clear" w:fill="FDFDFE"/>
          <w:lang w:eastAsia="zh-CN"/>
        </w:rPr>
        <w:t>铜仁机场光伏项目</w:t>
      </w:r>
      <w:r>
        <w:rPr>
          <w:rFonts w:hint="eastAsia" w:ascii="仿宋" w:hAnsi="仿宋" w:eastAsia="仿宋" w:cs="仿宋"/>
          <w:sz w:val="32"/>
          <w:szCs w:val="32"/>
          <w:lang w:val="en-US" w:eastAsia="zh-CN"/>
        </w:rPr>
        <w:t>建设规模36MW，平均年发电量约3568万KWH，能够满足铜仁机场中长期发展用电量需求。</w:t>
      </w:r>
      <w:r>
        <w:rPr>
          <w:rFonts w:hint="eastAsia" w:ascii="仿宋" w:hAnsi="仿宋" w:eastAsia="仿宋" w:cs="仿宋"/>
          <w:color w:val="auto"/>
          <w:sz w:val="32"/>
          <w:szCs w:val="32"/>
          <w:highlight w:val="none"/>
          <w:lang w:val="en-US" w:eastAsia="zh-CN"/>
        </w:rPr>
        <w:t>如因国家政策调整，导致本项目不能按照预期建设规模36MW进行投建，则根据新政策建设规模标准执行，本方案相关内容另行协商。</w:t>
      </w:r>
    </w:p>
    <w:p w14:paraId="0609D99F">
      <w:pPr>
        <w:pStyle w:val="4"/>
        <w:keepNext/>
        <w:keepLines/>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仿宋" w:hAnsi="仿宋" w:eastAsia="仿宋" w:cs="仿宋"/>
          <w:sz w:val="32"/>
          <w:szCs w:val="32"/>
          <w:lang w:val="en-US" w:eastAsia="zh-CN"/>
        </w:rPr>
      </w:pPr>
      <w:bookmarkStart w:id="48" w:name="_Toc28499"/>
      <w:bookmarkStart w:id="49" w:name="_Toc26978"/>
      <w:bookmarkStart w:id="50" w:name="_Toc30972"/>
      <w:bookmarkStart w:id="51" w:name="_Toc13242"/>
      <w:bookmarkStart w:id="52" w:name="_Toc30339"/>
      <w:bookmarkStart w:id="53" w:name="_Toc24102"/>
      <w:bookmarkStart w:id="54" w:name="_Toc21391"/>
      <w:bookmarkStart w:id="55" w:name="_Toc6811"/>
      <w:bookmarkStart w:id="56" w:name="_Toc14890"/>
      <w:bookmarkStart w:id="57" w:name="_Toc3480"/>
      <w:r>
        <w:rPr>
          <w:rFonts w:hint="eastAsia" w:ascii="楷体" w:hAnsi="楷体" w:eastAsia="楷体" w:cs="楷体"/>
          <w:b w:val="0"/>
          <w:bCs w:val="0"/>
          <w:sz w:val="32"/>
          <w:szCs w:val="32"/>
          <w:lang w:val="en-US" w:eastAsia="zh-CN"/>
        </w:rPr>
        <w:t>（三）储能设施要求</w:t>
      </w:r>
      <w:bookmarkEnd w:id="48"/>
      <w:bookmarkEnd w:id="49"/>
      <w:bookmarkEnd w:id="50"/>
      <w:bookmarkEnd w:id="51"/>
      <w:bookmarkEnd w:id="52"/>
      <w:bookmarkEnd w:id="53"/>
      <w:bookmarkEnd w:id="54"/>
      <w:bookmarkEnd w:id="55"/>
      <w:bookmarkEnd w:id="56"/>
      <w:bookmarkEnd w:id="57"/>
    </w:p>
    <w:p w14:paraId="17ECDDC4">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宋体" w:hAnsi="宋体" w:eastAsia="仿宋" w:cs="宋体"/>
          <w:color w:val="auto"/>
          <w:sz w:val="28"/>
          <w:szCs w:val="28"/>
          <w:lang w:val="en-US" w:eastAsia="zh-CN"/>
        </w:rPr>
      </w:pPr>
      <w:r>
        <w:rPr>
          <w:rFonts w:hint="eastAsia" w:ascii="仿宋" w:hAnsi="仿宋" w:eastAsia="仿宋" w:cs="仿宋"/>
          <w:color w:val="auto"/>
          <w:sz w:val="32"/>
          <w:szCs w:val="32"/>
          <w:highlight w:val="none"/>
          <w:lang w:val="en-US" w:eastAsia="zh-CN"/>
        </w:rPr>
        <w:t>投建方</w:t>
      </w:r>
      <w:r>
        <w:rPr>
          <w:rFonts w:hint="eastAsia" w:ascii="仿宋" w:hAnsi="仿宋" w:eastAsia="仿宋" w:cs="仿宋"/>
          <w:i w:val="0"/>
          <w:iCs w:val="0"/>
          <w:caps w:val="0"/>
          <w:color w:val="auto"/>
          <w:spacing w:val="0"/>
          <w:kern w:val="0"/>
          <w:sz w:val="32"/>
          <w:szCs w:val="32"/>
          <w:highlight w:val="none"/>
          <w:shd w:val="clear" w:fill="FDFDFE"/>
          <w:lang w:val="en-US" w:eastAsia="zh-CN" w:bidi="ar"/>
        </w:rPr>
        <w:t>在铜仁机场光伏项目建设完成后，须确保配套的光伏储能设施系统满足铜仁机场24小时生产运行保障用电需求</w:t>
      </w:r>
      <w:r>
        <w:rPr>
          <w:rFonts w:hint="eastAsia" w:ascii="仿宋" w:hAnsi="仿宋" w:eastAsia="仿宋" w:cs="仿宋"/>
          <w:color w:val="auto"/>
          <w:sz w:val="32"/>
          <w:szCs w:val="32"/>
          <w:highlight w:val="none"/>
          <w:lang w:val="en-US" w:eastAsia="zh-CN"/>
        </w:rPr>
        <w:t>，</w:t>
      </w:r>
      <w:r>
        <w:rPr>
          <w:rFonts w:hint="eastAsia" w:ascii="仿宋" w:hAnsi="仿宋" w:eastAsia="仿宋" w:cs="仿宋"/>
          <w:i w:val="0"/>
          <w:iCs w:val="0"/>
          <w:caps w:val="0"/>
          <w:color w:val="auto"/>
          <w:spacing w:val="0"/>
          <w:kern w:val="0"/>
          <w:sz w:val="32"/>
          <w:szCs w:val="32"/>
          <w:shd w:val="clear" w:fill="FDFDFE"/>
          <w:lang w:val="en-US" w:eastAsia="zh-CN" w:bidi="ar"/>
        </w:rPr>
        <w:t>以及必要的电力接入、变电设施、市电与光伏电源切换设备及监控设备等相关设备，确保电力稳定输出与高效利用。</w:t>
      </w:r>
    </w:p>
    <w:p w14:paraId="60DFABCE">
      <w:pPr>
        <w:pStyle w:val="3"/>
        <w:keepNext/>
        <w:keepLines/>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黑体" w:hAnsi="黑体" w:eastAsia="黑体" w:cs="黑体"/>
          <w:b w:val="0"/>
          <w:bCs w:val="0"/>
          <w:sz w:val="32"/>
          <w:szCs w:val="32"/>
          <w:lang w:val="zh-CN" w:eastAsia="zh-CN"/>
        </w:rPr>
      </w:pPr>
      <w:bookmarkStart w:id="58" w:name="_Toc26805"/>
      <w:bookmarkStart w:id="59" w:name="_Toc14861"/>
      <w:bookmarkStart w:id="60" w:name="_Toc14396"/>
      <w:bookmarkStart w:id="61" w:name="_Toc31722"/>
      <w:bookmarkStart w:id="62" w:name="_Toc9461"/>
      <w:bookmarkStart w:id="63" w:name="_Toc6145"/>
      <w:bookmarkStart w:id="64" w:name="_Toc24497"/>
      <w:bookmarkStart w:id="65" w:name="_Toc22569"/>
      <w:bookmarkStart w:id="66" w:name="_Toc7070"/>
      <w:bookmarkStart w:id="67" w:name="_Toc10712"/>
      <w:bookmarkStart w:id="68" w:name="_Toc18157"/>
      <w:r>
        <w:rPr>
          <w:rFonts w:hint="eastAsia" w:ascii="黑体" w:hAnsi="黑体" w:eastAsia="黑体" w:cs="黑体"/>
          <w:b w:val="0"/>
          <w:bCs w:val="0"/>
          <w:sz w:val="32"/>
          <w:szCs w:val="32"/>
          <w:lang w:val="zh-CN" w:eastAsia="zh-CN"/>
        </w:rPr>
        <w:t>三、合作模式</w:t>
      </w:r>
      <w:bookmarkEnd w:id="58"/>
      <w:bookmarkEnd w:id="59"/>
      <w:bookmarkEnd w:id="60"/>
      <w:bookmarkEnd w:id="61"/>
      <w:bookmarkEnd w:id="62"/>
      <w:bookmarkEnd w:id="63"/>
      <w:bookmarkEnd w:id="64"/>
      <w:bookmarkEnd w:id="65"/>
      <w:bookmarkEnd w:id="66"/>
      <w:bookmarkEnd w:id="67"/>
      <w:bookmarkEnd w:id="68"/>
    </w:p>
    <w:p w14:paraId="64D75C97">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0" w:firstLineChars="200"/>
        <w:jc w:val="both"/>
        <w:textAlignment w:val="auto"/>
        <w:rPr>
          <w:rFonts w:hint="default" w:ascii="仿宋" w:hAnsi="仿宋" w:eastAsia="仿宋" w:cs="仿宋"/>
          <w:sz w:val="32"/>
          <w:szCs w:val="32"/>
          <w:highlight w:val="none"/>
          <w:lang w:val="en-US" w:eastAsia="zh-CN"/>
        </w:rPr>
      </w:pPr>
      <w:r>
        <w:rPr>
          <w:rFonts w:hint="eastAsia" w:ascii="仿宋" w:hAnsi="仿宋" w:eastAsia="仿宋" w:cs="仿宋"/>
          <w:sz w:val="32"/>
          <w:szCs w:val="32"/>
          <w:highlight w:val="none"/>
          <w:lang w:val="en-US" w:eastAsia="zh-CN"/>
        </w:rPr>
        <w:t>铜仁机场提供土地，以公开招商方式，市场化选择具有光伏项目建设运营资质的合作单位，铜仁机场仅提供可用土地用于项目建设</w:t>
      </w:r>
      <w:r>
        <w:rPr>
          <w:rFonts w:hint="eastAsia" w:ascii="仿宋" w:hAnsi="仿宋" w:eastAsia="仿宋" w:cs="仿宋"/>
          <w:color w:val="auto"/>
          <w:sz w:val="32"/>
          <w:szCs w:val="32"/>
          <w:highlight w:val="none"/>
          <w:lang w:val="en-US" w:eastAsia="zh-CN"/>
        </w:rPr>
        <w:t>（在提供使用的土地上禁止建设永久性建筑）</w:t>
      </w:r>
      <w:r>
        <w:rPr>
          <w:rFonts w:hint="eastAsia" w:ascii="仿宋" w:hAnsi="仿宋" w:eastAsia="仿宋" w:cs="仿宋"/>
          <w:sz w:val="32"/>
          <w:szCs w:val="32"/>
          <w:highlight w:val="none"/>
          <w:lang w:val="en-US" w:eastAsia="zh-CN"/>
        </w:rPr>
        <w:t>，光伏发电项目的投资、建设和运营由投建方负责。项目建成后必须满足铜仁机场自用电需求，所提供铜仁机场自用电电价须低于贵州电网公司代理购电的用户电价。投建方负责项目立项、建设、运营等所有手续办理。</w:t>
      </w:r>
    </w:p>
    <w:p w14:paraId="798B92FA">
      <w:pPr>
        <w:pStyle w:val="3"/>
        <w:keepNext/>
        <w:keepLines/>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黑体" w:hAnsi="黑体" w:eastAsia="黑体" w:cs="黑体"/>
          <w:b w:val="0"/>
          <w:bCs w:val="0"/>
          <w:sz w:val="32"/>
          <w:szCs w:val="32"/>
          <w:lang w:val="zh-CN" w:eastAsia="zh-CN"/>
        </w:rPr>
      </w:pPr>
      <w:bookmarkStart w:id="69" w:name="_Toc19095"/>
      <w:bookmarkStart w:id="70" w:name="_Toc151"/>
      <w:bookmarkStart w:id="71" w:name="_Toc19100"/>
      <w:bookmarkStart w:id="72" w:name="_Toc22761"/>
      <w:bookmarkStart w:id="73" w:name="_Toc23384"/>
      <w:bookmarkStart w:id="74" w:name="_Toc1774"/>
      <w:bookmarkStart w:id="75" w:name="_Toc2054"/>
      <w:bookmarkStart w:id="76" w:name="_Toc13947"/>
      <w:bookmarkStart w:id="77" w:name="_Toc3374"/>
      <w:bookmarkStart w:id="78" w:name="_Toc8024"/>
      <w:bookmarkStart w:id="79" w:name="_Toc1104"/>
      <w:bookmarkStart w:id="80" w:name="_Toc13810"/>
      <w:bookmarkStart w:id="81" w:name="_Toc14316"/>
      <w:r>
        <w:rPr>
          <w:rFonts w:hint="eastAsia" w:ascii="黑体" w:hAnsi="黑体" w:eastAsia="黑体" w:cs="黑体"/>
          <w:b w:val="0"/>
          <w:bCs w:val="0"/>
          <w:sz w:val="32"/>
          <w:szCs w:val="32"/>
          <w:lang w:val="zh-CN" w:eastAsia="zh-CN"/>
        </w:rPr>
        <w:t>四、商务要求</w:t>
      </w:r>
      <w:bookmarkEnd w:id="69"/>
      <w:bookmarkEnd w:id="70"/>
      <w:bookmarkEnd w:id="71"/>
      <w:bookmarkEnd w:id="72"/>
      <w:bookmarkEnd w:id="73"/>
      <w:bookmarkEnd w:id="74"/>
      <w:bookmarkEnd w:id="75"/>
      <w:bookmarkEnd w:id="76"/>
      <w:bookmarkEnd w:id="77"/>
      <w:bookmarkEnd w:id="78"/>
      <w:bookmarkEnd w:id="79"/>
      <w:bookmarkEnd w:id="80"/>
    </w:p>
    <w:p w14:paraId="4E198CA9">
      <w:pPr>
        <w:pStyle w:val="4"/>
        <w:keepNext/>
        <w:keepLines/>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楷体" w:hAnsi="楷体" w:eastAsia="楷体" w:cs="楷体"/>
          <w:b w:val="0"/>
          <w:bCs w:val="0"/>
          <w:sz w:val="32"/>
          <w:szCs w:val="32"/>
        </w:rPr>
      </w:pPr>
      <w:bookmarkStart w:id="82" w:name="_Toc31016"/>
      <w:bookmarkStart w:id="83" w:name="_Toc26856"/>
      <w:bookmarkStart w:id="84" w:name="_Toc21019"/>
      <w:bookmarkStart w:id="85" w:name="_Toc32326"/>
      <w:bookmarkStart w:id="86" w:name="_Toc25867"/>
      <w:bookmarkStart w:id="87" w:name="_Toc29130"/>
      <w:bookmarkStart w:id="88" w:name="_Toc32506"/>
      <w:bookmarkStart w:id="89" w:name="_Toc4751"/>
      <w:bookmarkStart w:id="90" w:name="_Toc23017"/>
      <w:bookmarkStart w:id="91" w:name="_Toc22778"/>
      <w:bookmarkStart w:id="92" w:name="_Toc9875"/>
      <w:bookmarkStart w:id="93" w:name="_Toc22217"/>
      <w:r>
        <w:rPr>
          <w:rFonts w:hint="eastAsia" w:ascii="楷体" w:hAnsi="楷体" w:eastAsia="楷体" w:cs="楷体"/>
          <w:b w:val="0"/>
          <w:bCs w:val="0"/>
          <w:sz w:val="32"/>
          <w:szCs w:val="32"/>
        </w:rPr>
        <w:t>（一）付款方式和条件</w:t>
      </w:r>
      <w:bookmarkEnd w:id="82"/>
      <w:bookmarkEnd w:id="83"/>
      <w:bookmarkEnd w:id="84"/>
      <w:bookmarkEnd w:id="85"/>
      <w:bookmarkEnd w:id="86"/>
      <w:bookmarkEnd w:id="87"/>
      <w:bookmarkEnd w:id="88"/>
      <w:bookmarkEnd w:id="89"/>
      <w:bookmarkEnd w:id="90"/>
      <w:bookmarkEnd w:id="91"/>
      <w:bookmarkEnd w:id="92"/>
      <w:bookmarkEnd w:id="93"/>
    </w:p>
    <w:p w14:paraId="09052022">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jc w:val="left"/>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1.合作期内，投建方每个月15日前向铜仁机场出具《电费通知单》，申请上月电费结算。</w:t>
      </w:r>
    </w:p>
    <w:p w14:paraId="59B10394">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jc w:val="left"/>
        <w:textAlignment w:val="auto"/>
        <w:rPr>
          <w:rFonts w:hint="eastAsia" w:ascii="仿宋" w:hAnsi="仿宋" w:eastAsia="仿宋" w:cs="仿宋"/>
          <w:kern w:val="2"/>
          <w:sz w:val="32"/>
          <w:szCs w:val="32"/>
          <w:lang w:val="en-US" w:eastAsia="zh-CN" w:bidi="ar-SA"/>
        </w:rPr>
      </w:pPr>
      <w:bookmarkStart w:id="94" w:name="_Toc30834"/>
      <w:bookmarkStart w:id="95" w:name="_Toc4615"/>
      <w:r>
        <w:rPr>
          <w:rFonts w:hint="eastAsia" w:ascii="仿宋" w:hAnsi="仿宋" w:eastAsia="仿宋" w:cs="仿宋"/>
          <w:kern w:val="2"/>
          <w:sz w:val="32"/>
          <w:szCs w:val="32"/>
          <w:lang w:val="en-US" w:eastAsia="zh-CN" w:bidi="ar-SA"/>
        </w:rPr>
        <w:t>2.光伏用电费用的支付</w:t>
      </w:r>
      <w:bookmarkEnd w:id="94"/>
      <w:bookmarkEnd w:id="95"/>
    </w:p>
    <w:p w14:paraId="5778077A">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jc w:val="left"/>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1）投建方供给铜仁机场的实际月度光伏用电量是以经过合同双方确认的《电费通知单》为准，铜仁机场每月支付投建方的光伏电费计算公式如下（公式中甲方指铜仁机场，乙方指投建方）：</w:t>
      </w:r>
    </w:p>
    <w:p w14:paraId="6D3B72B2">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3" w:firstLineChars="200"/>
        <w:jc w:val="left"/>
        <w:textAlignment w:val="auto"/>
        <w:rPr>
          <w:rFonts w:hint="eastAsia" w:ascii="仿宋" w:hAnsi="仿宋" w:eastAsia="仿宋" w:cs="仿宋"/>
          <w:b/>
          <w:bCs/>
          <w:kern w:val="2"/>
          <w:sz w:val="32"/>
          <w:szCs w:val="32"/>
          <w:lang w:val="en-US" w:eastAsia="zh-CN" w:bidi="ar-SA"/>
        </w:rPr>
      </w:pPr>
      <w:r>
        <w:rPr>
          <w:rFonts w:hint="eastAsia" w:ascii="仿宋" w:hAnsi="仿宋" w:eastAsia="仿宋" w:cs="仿宋"/>
          <w:b/>
          <w:bCs/>
          <w:kern w:val="2"/>
          <w:sz w:val="32"/>
          <w:szCs w:val="32"/>
          <w:lang w:val="en-US" w:eastAsia="zh-CN" w:bidi="ar-SA"/>
        </w:rPr>
        <w:t>月度甲方使用光伏电用电费用=月度甲方使用光伏电用电量×合同约定电价。</w:t>
      </w:r>
    </w:p>
    <w:p w14:paraId="2123C115">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jc w:val="left"/>
        <w:textAlignment w:val="auto"/>
        <w:rPr>
          <w:rFonts w:hint="default" w:ascii="仿宋" w:hAnsi="仿宋" w:eastAsia="仿宋" w:cs="仿宋"/>
          <w:color w:val="auto"/>
          <w:sz w:val="32"/>
          <w:szCs w:val="32"/>
          <w:lang w:val="en-US" w:eastAsia="zh-CN"/>
        </w:rPr>
      </w:pPr>
      <w:r>
        <w:rPr>
          <w:rFonts w:hint="eastAsia" w:ascii="仿宋" w:hAnsi="仿宋" w:eastAsia="仿宋" w:cs="仿宋"/>
          <w:kern w:val="2"/>
          <w:sz w:val="32"/>
          <w:szCs w:val="32"/>
          <w:lang w:val="en-US" w:eastAsia="zh-CN" w:bidi="ar-SA"/>
        </w:rPr>
        <w:t>2）合同双方应自供电局验收合格并正式并网之日起，根据实际使用情况每月结算一次用电费用。投建方开具增值税专用发票，铜仁机场收到发票后15个工作日内，将款项汇至投建方指定的银行账号，直至合同期届满（如合同期延长的，则至延长的合同期届满）。</w:t>
      </w:r>
      <w:bookmarkStart w:id="96" w:name="_Toc19128"/>
      <w:bookmarkStart w:id="97" w:name="_Toc21670"/>
    </w:p>
    <w:bookmarkEnd w:id="96"/>
    <w:bookmarkEnd w:id="97"/>
    <w:p w14:paraId="079082E9">
      <w:pPr>
        <w:pStyle w:val="4"/>
        <w:keepNext/>
        <w:keepLines/>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楷体" w:hAnsi="楷体" w:eastAsia="楷体" w:cs="楷体"/>
          <w:b w:val="0"/>
          <w:bCs w:val="0"/>
          <w:sz w:val="32"/>
          <w:szCs w:val="32"/>
        </w:rPr>
      </w:pPr>
      <w:bookmarkStart w:id="98" w:name="_Toc2306"/>
      <w:bookmarkStart w:id="99" w:name="_Toc28281"/>
      <w:bookmarkStart w:id="100" w:name="_Toc31757"/>
      <w:bookmarkStart w:id="101" w:name="_Toc5519"/>
      <w:bookmarkStart w:id="102" w:name="_Toc29426"/>
      <w:bookmarkStart w:id="103" w:name="_Toc30018"/>
      <w:bookmarkStart w:id="104" w:name="_Toc15481"/>
      <w:bookmarkStart w:id="105" w:name="_Toc24759"/>
      <w:bookmarkStart w:id="106" w:name="_Toc7605"/>
      <w:bookmarkStart w:id="107" w:name="_Toc7517"/>
      <w:bookmarkStart w:id="108" w:name="_Toc13384"/>
      <w:bookmarkStart w:id="109" w:name="_Toc11711"/>
      <w:r>
        <w:rPr>
          <w:rFonts w:hint="eastAsia" w:ascii="楷体" w:hAnsi="楷体" w:eastAsia="楷体" w:cs="楷体"/>
          <w:b w:val="0"/>
          <w:bCs w:val="0"/>
          <w:sz w:val="32"/>
          <w:szCs w:val="32"/>
        </w:rPr>
        <w:t>（二）</w:t>
      </w:r>
      <w:r>
        <w:rPr>
          <w:rFonts w:hint="eastAsia" w:ascii="楷体" w:hAnsi="楷体" w:eastAsia="楷体" w:cs="楷体"/>
          <w:b w:val="0"/>
          <w:bCs w:val="0"/>
          <w:sz w:val="32"/>
          <w:szCs w:val="32"/>
          <w:lang w:eastAsia="zh-CN"/>
        </w:rPr>
        <w:t>合作期</w:t>
      </w:r>
      <w:r>
        <w:rPr>
          <w:rFonts w:hint="eastAsia" w:ascii="楷体" w:hAnsi="楷体" w:eastAsia="楷体" w:cs="楷体"/>
          <w:b w:val="0"/>
          <w:bCs w:val="0"/>
          <w:sz w:val="32"/>
          <w:szCs w:val="32"/>
        </w:rPr>
        <w:t>限及地点</w:t>
      </w:r>
      <w:bookmarkEnd w:id="98"/>
      <w:bookmarkEnd w:id="99"/>
      <w:bookmarkEnd w:id="100"/>
      <w:bookmarkEnd w:id="101"/>
      <w:bookmarkEnd w:id="102"/>
      <w:bookmarkEnd w:id="103"/>
      <w:bookmarkEnd w:id="104"/>
      <w:bookmarkEnd w:id="105"/>
      <w:bookmarkEnd w:id="106"/>
      <w:bookmarkEnd w:id="107"/>
      <w:bookmarkEnd w:id="108"/>
      <w:bookmarkEnd w:id="109"/>
    </w:p>
    <w:p w14:paraId="2381E4F9">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1.合同期限</w:t>
      </w:r>
    </w:p>
    <w:p w14:paraId="282D499B">
      <w:pPr>
        <w:numPr>
          <w:ilvl w:val="0"/>
          <w:numId w:val="0"/>
        </w:numPr>
        <w:spacing w:line="560" w:lineRule="exact"/>
        <w:ind w:firstLine="640" w:firstLineChars="200"/>
        <w:jc w:val="both"/>
        <w:rPr>
          <w:rFonts w:hint="eastAsia" w:ascii="仿宋" w:hAnsi="仿宋" w:eastAsia="仿宋" w:cs="仿宋"/>
          <w:kern w:val="2"/>
          <w:sz w:val="32"/>
          <w:szCs w:val="32"/>
          <w:highlight w:val="none"/>
          <w:lang w:val="en-US" w:eastAsia="zh-CN" w:bidi="ar-SA"/>
        </w:rPr>
      </w:pPr>
      <w:r>
        <w:rPr>
          <w:rFonts w:hint="eastAsia" w:ascii="仿宋" w:hAnsi="仿宋" w:eastAsia="仿宋" w:cs="仿宋"/>
          <w:sz w:val="32"/>
          <w:szCs w:val="32"/>
          <w:highlight w:val="none"/>
          <w:lang w:val="en-US" w:eastAsia="zh-CN"/>
        </w:rPr>
        <w:t>1）</w:t>
      </w:r>
      <w:r>
        <w:rPr>
          <w:rFonts w:hint="eastAsia" w:ascii="仿宋" w:hAnsi="仿宋" w:eastAsia="仿宋" w:cs="仿宋"/>
          <w:color w:val="auto"/>
          <w:sz w:val="32"/>
          <w:szCs w:val="32"/>
          <w:highlight w:val="none"/>
          <w:lang w:val="en-US" w:eastAsia="zh-CN"/>
        </w:rPr>
        <w:t>合作期限20年，自合同签订之日起算。</w:t>
      </w:r>
      <w:r>
        <w:rPr>
          <w:rFonts w:hint="eastAsia" w:ascii="仿宋" w:hAnsi="仿宋" w:eastAsia="仿宋" w:cs="仿宋"/>
          <w:color w:val="auto"/>
          <w:kern w:val="2"/>
          <w:sz w:val="32"/>
          <w:szCs w:val="32"/>
          <w:highlight w:val="none"/>
          <w:lang w:val="en-US" w:eastAsia="zh-CN" w:bidi="ar-SA"/>
        </w:rPr>
        <w:t>合同期内如因地方政府规划或机场改扩建等不可抗力因素导致本项目土地不能使用时，投建方须无条件退出并撤除投入的全部设施设备，铜仁机场不承担任何违约责任和其他相关责任，投建方自行与相关部门协商。</w:t>
      </w:r>
    </w:p>
    <w:p w14:paraId="1342DA60">
      <w:pPr>
        <w:numPr>
          <w:ilvl w:val="0"/>
          <w:numId w:val="0"/>
        </w:numPr>
        <w:spacing w:line="560" w:lineRule="exact"/>
        <w:ind w:firstLine="640" w:firstLineChars="200"/>
        <w:jc w:val="left"/>
        <w:rPr>
          <w:rFonts w:hint="default" w:ascii="仿宋" w:hAnsi="仿宋" w:eastAsia="仿宋" w:cs="仿宋"/>
          <w:kern w:val="2"/>
          <w:sz w:val="32"/>
          <w:szCs w:val="32"/>
          <w:lang w:val="en-US" w:eastAsia="zh-CN" w:bidi="ar-SA"/>
        </w:rPr>
      </w:pPr>
      <w:r>
        <w:rPr>
          <w:rFonts w:hint="eastAsia" w:ascii="仿宋" w:hAnsi="仿宋" w:eastAsia="仿宋" w:cs="仿宋"/>
          <w:sz w:val="32"/>
          <w:szCs w:val="32"/>
          <w:lang w:val="en-US" w:eastAsia="zh-CN"/>
        </w:rPr>
        <w:t>2）</w:t>
      </w:r>
      <w:r>
        <w:rPr>
          <w:rFonts w:hint="eastAsia" w:ascii="仿宋" w:hAnsi="仿宋" w:eastAsia="仿宋" w:cs="仿宋"/>
          <w:kern w:val="2"/>
          <w:sz w:val="32"/>
          <w:szCs w:val="32"/>
          <w:lang w:val="en-US" w:eastAsia="zh-CN" w:bidi="ar-SA"/>
        </w:rPr>
        <w:t>合同期满，合同期内无违约情况下，在</w:t>
      </w:r>
      <w:r>
        <w:rPr>
          <w:rFonts w:hint="eastAsia" w:ascii="仿宋" w:hAnsi="仿宋" w:eastAsia="仿宋" w:cs="仿宋"/>
          <w:sz w:val="32"/>
          <w:szCs w:val="32"/>
          <w:highlight w:val="none"/>
          <w:lang w:eastAsia="zh-CN"/>
        </w:rPr>
        <w:t>同等条件下投建方具备</w:t>
      </w:r>
      <w:r>
        <w:rPr>
          <w:rFonts w:hint="eastAsia" w:ascii="仿宋" w:hAnsi="仿宋" w:eastAsia="仿宋" w:cs="仿宋"/>
          <w:sz w:val="32"/>
          <w:szCs w:val="32"/>
          <w:highlight w:val="none"/>
        </w:rPr>
        <w:t>合同</w:t>
      </w:r>
      <w:r>
        <w:rPr>
          <w:rFonts w:hint="eastAsia" w:ascii="仿宋" w:hAnsi="仿宋" w:eastAsia="仿宋" w:cs="仿宋"/>
          <w:sz w:val="32"/>
          <w:szCs w:val="32"/>
          <w:highlight w:val="none"/>
          <w:lang w:eastAsia="zh-CN"/>
        </w:rPr>
        <w:t>优先</w:t>
      </w:r>
      <w:r>
        <w:rPr>
          <w:rFonts w:hint="eastAsia" w:ascii="仿宋" w:hAnsi="仿宋" w:eastAsia="仿宋" w:cs="仿宋"/>
          <w:sz w:val="32"/>
          <w:szCs w:val="32"/>
          <w:highlight w:val="none"/>
        </w:rPr>
        <w:t>续签</w:t>
      </w:r>
      <w:r>
        <w:rPr>
          <w:rFonts w:hint="eastAsia" w:ascii="仿宋" w:hAnsi="仿宋" w:eastAsia="仿宋" w:cs="仿宋"/>
          <w:sz w:val="32"/>
          <w:szCs w:val="32"/>
          <w:highlight w:val="none"/>
          <w:lang w:eastAsia="zh-CN"/>
        </w:rPr>
        <w:t>权利</w:t>
      </w:r>
      <w:r>
        <w:rPr>
          <w:rFonts w:hint="eastAsia" w:ascii="仿宋" w:hAnsi="仿宋" w:eastAsia="仿宋" w:cs="仿宋"/>
          <w:sz w:val="32"/>
          <w:szCs w:val="32"/>
          <w:highlight w:val="none"/>
        </w:rPr>
        <w:t>。</w:t>
      </w:r>
    </w:p>
    <w:p w14:paraId="3B0270B7">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2.合作地点</w:t>
      </w:r>
    </w:p>
    <w:p w14:paraId="3F483D0D">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铜仁凤凰机场。</w:t>
      </w:r>
    </w:p>
    <w:p w14:paraId="62D44DDC">
      <w:pPr>
        <w:pStyle w:val="4"/>
        <w:keepNext/>
        <w:keepLines/>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楷体" w:hAnsi="楷体" w:eastAsia="楷体" w:cs="楷体"/>
          <w:b w:val="0"/>
          <w:bCs w:val="0"/>
          <w:sz w:val="32"/>
          <w:szCs w:val="32"/>
        </w:rPr>
      </w:pPr>
      <w:bookmarkStart w:id="110" w:name="_Toc16298"/>
      <w:bookmarkStart w:id="111" w:name="_Toc24198"/>
      <w:bookmarkStart w:id="112" w:name="_Toc15251"/>
      <w:bookmarkStart w:id="113" w:name="_Toc26026"/>
      <w:bookmarkStart w:id="114" w:name="_Toc415"/>
      <w:bookmarkStart w:id="115" w:name="_Toc24389"/>
      <w:bookmarkStart w:id="116" w:name="_Toc1593"/>
      <w:bookmarkStart w:id="117" w:name="_Toc12512"/>
      <w:bookmarkStart w:id="118" w:name="_Toc9954"/>
      <w:bookmarkStart w:id="119" w:name="_Toc4722"/>
      <w:bookmarkStart w:id="120" w:name="_Toc14234"/>
      <w:bookmarkStart w:id="121" w:name="_Toc13021"/>
      <w:r>
        <w:rPr>
          <w:rFonts w:hint="eastAsia" w:ascii="楷体" w:hAnsi="楷体" w:eastAsia="楷体" w:cs="楷体"/>
          <w:b w:val="0"/>
          <w:bCs w:val="0"/>
          <w:sz w:val="32"/>
          <w:szCs w:val="32"/>
        </w:rPr>
        <w:t>（三）</w:t>
      </w:r>
      <w:r>
        <w:rPr>
          <w:rFonts w:hint="eastAsia" w:ascii="楷体" w:hAnsi="楷体" w:eastAsia="楷体" w:cs="楷体"/>
          <w:b w:val="0"/>
          <w:bCs w:val="0"/>
          <w:sz w:val="32"/>
          <w:szCs w:val="32"/>
          <w:lang w:eastAsia="zh-CN"/>
        </w:rPr>
        <w:t>招商</w:t>
      </w:r>
      <w:r>
        <w:rPr>
          <w:rFonts w:hint="eastAsia" w:ascii="楷体" w:hAnsi="楷体" w:eastAsia="楷体" w:cs="楷体"/>
          <w:b w:val="0"/>
          <w:bCs w:val="0"/>
          <w:sz w:val="32"/>
          <w:szCs w:val="32"/>
        </w:rPr>
        <w:t>报价要求</w:t>
      </w:r>
      <w:bookmarkEnd w:id="110"/>
      <w:bookmarkEnd w:id="111"/>
      <w:bookmarkEnd w:id="112"/>
      <w:bookmarkEnd w:id="113"/>
      <w:bookmarkEnd w:id="114"/>
      <w:bookmarkEnd w:id="115"/>
      <w:bookmarkEnd w:id="116"/>
      <w:bookmarkEnd w:id="117"/>
      <w:bookmarkEnd w:id="118"/>
      <w:bookmarkEnd w:id="119"/>
      <w:bookmarkEnd w:id="120"/>
      <w:bookmarkEnd w:id="121"/>
    </w:p>
    <w:p w14:paraId="5CDB6EA5">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1.投建方所报光伏售电价格为合同期内</w:t>
      </w:r>
      <w:r>
        <w:rPr>
          <w:rFonts w:hint="eastAsia" w:ascii="仿宋" w:hAnsi="仿宋" w:eastAsia="仿宋" w:cs="仿宋"/>
          <w:color w:val="auto"/>
          <w:sz w:val="32"/>
          <w:szCs w:val="32"/>
          <w:lang w:val="en-US" w:eastAsia="zh-CN"/>
        </w:rPr>
        <w:t>贵州电网公司代理购电的用户电价</w:t>
      </w:r>
      <w:r>
        <w:rPr>
          <w:rFonts w:hint="eastAsia" w:ascii="仿宋" w:hAnsi="仿宋" w:eastAsia="仿宋" w:cs="仿宋"/>
          <w:sz w:val="32"/>
          <w:szCs w:val="32"/>
          <w:lang w:val="en-US" w:eastAsia="zh-CN"/>
        </w:rPr>
        <w:t>为基数的固定折扣电价。</w:t>
      </w:r>
      <w:bookmarkStart w:id="122" w:name="_Toc45282605"/>
      <w:bookmarkStart w:id="123" w:name="_Toc45279101"/>
    </w:p>
    <w:p w14:paraId="0DA6D791">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0" w:firstLineChars="200"/>
        <w:jc w:val="both"/>
        <w:textAlignment w:val="auto"/>
        <w:rPr>
          <w:rFonts w:hint="eastAsia" w:ascii="仿宋" w:hAnsi="仿宋" w:eastAsia="仿宋" w:cs="仿宋"/>
          <w:sz w:val="32"/>
          <w:szCs w:val="32"/>
          <w:lang w:val="en-US" w:eastAsia="zh-CN"/>
        </w:rPr>
      </w:pPr>
      <w:bookmarkStart w:id="124" w:name="_Toc14954"/>
      <w:bookmarkStart w:id="125" w:name="_Toc7435"/>
      <w:r>
        <w:rPr>
          <w:rFonts w:hint="eastAsia" w:ascii="仿宋" w:hAnsi="仿宋" w:eastAsia="仿宋" w:cs="仿宋"/>
          <w:sz w:val="32"/>
          <w:szCs w:val="32"/>
          <w:lang w:val="en-US" w:eastAsia="zh-CN"/>
        </w:rPr>
        <w:t>2.除光伏用电费外，铜仁机场不再向投建方支付其他任何费用。</w:t>
      </w:r>
      <w:bookmarkEnd w:id="124"/>
      <w:bookmarkEnd w:id="125"/>
    </w:p>
    <w:p w14:paraId="0BEB48C0">
      <w:pPr>
        <w:pStyle w:val="4"/>
        <w:keepNext/>
        <w:keepLines/>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楷体" w:hAnsi="楷体" w:eastAsia="楷体" w:cs="楷体"/>
          <w:b w:val="0"/>
          <w:bCs w:val="0"/>
          <w:sz w:val="32"/>
          <w:szCs w:val="32"/>
          <w:lang w:val="en-US" w:eastAsia="zh-CN"/>
        </w:rPr>
      </w:pPr>
      <w:bookmarkStart w:id="126" w:name="_Toc25591"/>
      <w:bookmarkStart w:id="127" w:name="_Toc9123"/>
      <w:bookmarkStart w:id="128" w:name="_Toc18087"/>
      <w:bookmarkStart w:id="129" w:name="_Toc25112"/>
      <w:bookmarkStart w:id="130" w:name="_Toc20805"/>
      <w:bookmarkStart w:id="131" w:name="_Toc10291"/>
      <w:bookmarkStart w:id="132" w:name="_Toc15864"/>
      <w:bookmarkStart w:id="133" w:name="_Toc26809"/>
      <w:bookmarkStart w:id="134" w:name="_Toc3645"/>
      <w:bookmarkStart w:id="135" w:name="_Toc31160"/>
      <w:bookmarkStart w:id="136" w:name="_Toc8756"/>
      <w:r>
        <w:rPr>
          <w:rFonts w:hint="eastAsia" w:ascii="楷体" w:hAnsi="楷体" w:eastAsia="楷体" w:cs="楷体"/>
          <w:b w:val="0"/>
          <w:bCs w:val="0"/>
          <w:sz w:val="32"/>
          <w:szCs w:val="32"/>
          <w:lang w:val="en-US" w:eastAsia="zh-CN"/>
        </w:rPr>
        <w:t>（四）铜仁机场硬性指标要求</w:t>
      </w:r>
      <w:bookmarkEnd w:id="126"/>
      <w:bookmarkEnd w:id="127"/>
      <w:bookmarkEnd w:id="128"/>
      <w:bookmarkEnd w:id="129"/>
      <w:bookmarkEnd w:id="130"/>
      <w:bookmarkEnd w:id="131"/>
      <w:bookmarkEnd w:id="132"/>
      <w:bookmarkEnd w:id="133"/>
      <w:bookmarkEnd w:id="134"/>
      <w:bookmarkEnd w:id="135"/>
      <w:bookmarkEnd w:id="136"/>
    </w:p>
    <w:p w14:paraId="1A3EBD3F">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jc w:val="left"/>
        <w:textAlignment w:val="auto"/>
        <w:rPr>
          <w:rFonts w:hint="eastAsia" w:ascii="仿宋" w:hAnsi="仿宋" w:eastAsia="仿宋" w:cs="仿宋"/>
          <w:b w:val="0"/>
          <w:bCs w:val="0"/>
          <w:color w:val="auto"/>
          <w:sz w:val="32"/>
          <w:szCs w:val="32"/>
          <w:lang w:val="en-US" w:eastAsia="zh-CN"/>
        </w:rPr>
      </w:pPr>
      <w:r>
        <w:rPr>
          <w:rFonts w:hint="eastAsia" w:ascii="仿宋" w:hAnsi="仿宋" w:eastAsia="仿宋" w:cs="仿宋"/>
          <w:kern w:val="2"/>
          <w:sz w:val="32"/>
          <w:szCs w:val="32"/>
          <w:lang w:val="en-US" w:eastAsia="zh-CN" w:bidi="ar-SA"/>
        </w:rPr>
        <w:t>1.投建方</w:t>
      </w:r>
      <w:r>
        <w:rPr>
          <w:rFonts w:hint="eastAsia" w:ascii="仿宋" w:hAnsi="仿宋" w:eastAsia="仿宋" w:cs="仿宋"/>
          <w:color w:val="auto"/>
          <w:sz w:val="32"/>
          <w:szCs w:val="32"/>
          <w:lang w:val="en-US" w:eastAsia="zh-CN"/>
        </w:rPr>
        <w:t>负责铜仁机场</w:t>
      </w:r>
      <w:r>
        <w:rPr>
          <w:rFonts w:hint="eastAsia" w:ascii="仿宋" w:hAnsi="仿宋" w:eastAsia="仿宋" w:cs="仿宋"/>
          <w:b w:val="0"/>
          <w:bCs w:val="0"/>
          <w:color w:val="auto"/>
          <w:sz w:val="32"/>
          <w:szCs w:val="32"/>
          <w:lang w:val="en-US" w:eastAsia="zh-CN"/>
        </w:rPr>
        <w:t>供电系统预防性试验费</w:t>
      </w:r>
    </w:p>
    <w:p w14:paraId="2427A173">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jc w:val="left"/>
        <w:textAlignment w:val="auto"/>
        <w:rPr>
          <w:rFonts w:hint="eastAsia" w:ascii="仿宋" w:hAnsi="仿宋" w:eastAsia="仿宋" w:cs="仿宋"/>
          <w:b w:val="0"/>
          <w:bCs w:val="0"/>
          <w:color w:val="auto"/>
          <w:sz w:val="32"/>
          <w:szCs w:val="32"/>
          <w:lang w:val="en-US" w:eastAsia="zh-CN"/>
        </w:rPr>
      </w:pPr>
      <w:r>
        <w:rPr>
          <w:rFonts w:hint="eastAsia" w:ascii="仿宋" w:hAnsi="仿宋" w:eastAsia="仿宋" w:cs="仿宋"/>
          <w:color w:val="auto"/>
          <w:sz w:val="32"/>
          <w:szCs w:val="32"/>
          <w:lang w:val="en-US" w:eastAsia="zh-CN"/>
        </w:rPr>
        <w:t>按照电力行业要求，每两年须对铜仁机场供电系统开展一次预防性电力试验，投建方接入机场供电系统后，须承担铜仁机场</w:t>
      </w:r>
      <w:r>
        <w:rPr>
          <w:rFonts w:hint="eastAsia" w:ascii="仿宋" w:hAnsi="仿宋" w:eastAsia="仿宋" w:cs="仿宋"/>
          <w:b w:val="0"/>
          <w:bCs w:val="0"/>
          <w:color w:val="auto"/>
          <w:sz w:val="32"/>
          <w:szCs w:val="32"/>
          <w:lang w:val="en-US" w:eastAsia="zh-CN"/>
        </w:rPr>
        <w:t>供电系统预防性试验费，确保铜仁机场供电系统持续可适用。</w:t>
      </w:r>
    </w:p>
    <w:p w14:paraId="3AC9C28E">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0" w:firstLineChars="200"/>
        <w:jc w:val="both"/>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2.由铜仁机场提供高压柜接入，并做好高压柜维护工作，投建方须向铜仁机场支付高压柜接入费及高压柜维护费用。具体测算细则如下表：</w:t>
      </w:r>
    </w:p>
    <w:tbl>
      <w:tblPr>
        <w:tblStyle w:val="33"/>
        <w:tblW w:w="859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60"/>
        <w:gridCol w:w="1527"/>
        <w:gridCol w:w="759"/>
        <w:gridCol w:w="2385"/>
        <w:gridCol w:w="2167"/>
      </w:tblGrid>
      <w:tr w14:paraId="70B5A9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7" w:hRule="atLeast"/>
        </w:trPr>
        <w:tc>
          <w:tcPr>
            <w:tcW w:w="1760" w:type="dxa"/>
          </w:tcPr>
          <w:p w14:paraId="03E1A620">
            <w:pPr>
              <w:jc w:val="center"/>
              <w:rPr>
                <w:rFonts w:hint="eastAsia" w:ascii="宋体" w:hAnsi="宋体" w:eastAsia="宋体" w:cs="宋体"/>
                <w:b w:val="0"/>
                <w:bCs w:val="0"/>
                <w:sz w:val="21"/>
                <w:szCs w:val="21"/>
                <w:vertAlign w:val="baseline"/>
                <w:lang w:val="en-US" w:eastAsia="zh-CN"/>
              </w:rPr>
            </w:pPr>
            <w:r>
              <w:rPr>
                <w:rFonts w:hint="eastAsia" w:ascii="宋体" w:hAnsi="宋体" w:eastAsia="宋体" w:cs="宋体"/>
                <w:b w:val="0"/>
                <w:bCs w:val="0"/>
                <w:sz w:val="21"/>
                <w:szCs w:val="21"/>
                <w:vertAlign w:val="baseline"/>
                <w:lang w:val="en-US" w:eastAsia="zh-CN"/>
              </w:rPr>
              <w:t>项目名称</w:t>
            </w:r>
          </w:p>
        </w:tc>
        <w:tc>
          <w:tcPr>
            <w:tcW w:w="1527" w:type="dxa"/>
          </w:tcPr>
          <w:p w14:paraId="05A66124">
            <w:pPr>
              <w:jc w:val="center"/>
              <w:rPr>
                <w:rFonts w:hint="default" w:ascii="宋体" w:hAnsi="宋体" w:eastAsia="宋体" w:cs="宋体"/>
                <w:b w:val="0"/>
                <w:bCs w:val="0"/>
                <w:sz w:val="21"/>
                <w:szCs w:val="21"/>
                <w:vertAlign w:val="baseline"/>
                <w:lang w:val="en-US" w:eastAsia="zh-CN"/>
              </w:rPr>
            </w:pPr>
            <w:r>
              <w:rPr>
                <w:rFonts w:hint="eastAsia" w:ascii="宋体" w:hAnsi="宋体" w:cs="宋体"/>
                <w:b w:val="0"/>
                <w:bCs w:val="0"/>
                <w:sz w:val="21"/>
                <w:szCs w:val="21"/>
                <w:vertAlign w:val="baseline"/>
                <w:lang w:val="en-US" w:eastAsia="zh-CN"/>
              </w:rPr>
              <w:t>接入设施</w:t>
            </w:r>
            <w:r>
              <w:rPr>
                <w:rFonts w:hint="eastAsia" w:ascii="宋体" w:hAnsi="宋体" w:eastAsia="宋体" w:cs="宋体"/>
                <w:b w:val="0"/>
                <w:bCs w:val="0"/>
                <w:sz w:val="21"/>
                <w:szCs w:val="21"/>
                <w:vertAlign w:val="baseline"/>
                <w:lang w:val="en-US" w:eastAsia="zh-CN"/>
              </w:rPr>
              <w:t>设备</w:t>
            </w:r>
          </w:p>
        </w:tc>
        <w:tc>
          <w:tcPr>
            <w:tcW w:w="759" w:type="dxa"/>
          </w:tcPr>
          <w:p w14:paraId="3A8261F2">
            <w:pPr>
              <w:jc w:val="center"/>
              <w:rPr>
                <w:rFonts w:hint="eastAsia" w:ascii="宋体" w:hAnsi="宋体" w:eastAsia="宋体" w:cs="宋体"/>
                <w:b w:val="0"/>
                <w:bCs w:val="0"/>
                <w:sz w:val="21"/>
                <w:szCs w:val="21"/>
                <w:vertAlign w:val="baseline"/>
                <w:lang w:val="en-US" w:eastAsia="zh-CN"/>
              </w:rPr>
            </w:pPr>
            <w:r>
              <w:rPr>
                <w:rFonts w:hint="eastAsia" w:ascii="宋体" w:hAnsi="宋体" w:eastAsia="宋体" w:cs="宋体"/>
                <w:b w:val="0"/>
                <w:bCs w:val="0"/>
                <w:sz w:val="21"/>
                <w:szCs w:val="21"/>
                <w:vertAlign w:val="baseline"/>
                <w:lang w:val="en-US" w:eastAsia="zh-CN"/>
              </w:rPr>
              <w:t>数量</w:t>
            </w:r>
          </w:p>
        </w:tc>
        <w:tc>
          <w:tcPr>
            <w:tcW w:w="2385" w:type="dxa"/>
          </w:tcPr>
          <w:p w14:paraId="189A53EB">
            <w:pPr>
              <w:jc w:val="center"/>
              <w:rPr>
                <w:rFonts w:hint="eastAsia" w:ascii="宋体" w:hAnsi="宋体" w:eastAsia="宋体" w:cs="宋体"/>
                <w:b w:val="0"/>
                <w:bCs w:val="0"/>
                <w:sz w:val="21"/>
                <w:szCs w:val="21"/>
                <w:vertAlign w:val="baseline"/>
                <w:lang w:val="en-US" w:eastAsia="zh-CN"/>
              </w:rPr>
            </w:pPr>
          </w:p>
        </w:tc>
        <w:tc>
          <w:tcPr>
            <w:tcW w:w="2167" w:type="dxa"/>
            <w:shd w:val="clear" w:color="auto" w:fill="auto"/>
            <w:vAlign w:val="top"/>
          </w:tcPr>
          <w:p w14:paraId="49355E97">
            <w:pPr>
              <w:jc w:val="center"/>
              <w:rPr>
                <w:rFonts w:hint="eastAsia" w:ascii="宋体" w:hAnsi="宋体" w:eastAsia="宋体" w:cs="宋体"/>
                <w:b w:val="0"/>
                <w:bCs w:val="0"/>
                <w:sz w:val="21"/>
                <w:szCs w:val="21"/>
                <w:vertAlign w:val="baseline"/>
                <w:lang w:val="en-US" w:eastAsia="zh-CN"/>
              </w:rPr>
            </w:pPr>
            <w:r>
              <w:rPr>
                <w:rFonts w:hint="eastAsia" w:ascii="宋体" w:hAnsi="宋体" w:eastAsia="宋体" w:cs="宋体"/>
                <w:b w:val="0"/>
                <w:bCs w:val="0"/>
                <w:sz w:val="21"/>
                <w:szCs w:val="21"/>
                <w:vertAlign w:val="baseline"/>
                <w:lang w:val="en-US" w:eastAsia="zh-CN"/>
              </w:rPr>
              <w:t>年度总价（万元）</w:t>
            </w:r>
          </w:p>
        </w:tc>
      </w:tr>
      <w:tr w14:paraId="009955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1760" w:type="dxa"/>
          </w:tcPr>
          <w:p w14:paraId="17F8A3AC">
            <w:pPr>
              <w:jc w:val="center"/>
              <w:rPr>
                <w:rFonts w:hint="default" w:ascii="宋体" w:hAnsi="宋体" w:eastAsia="宋体" w:cs="宋体"/>
                <w:b w:val="0"/>
                <w:bCs w:val="0"/>
                <w:sz w:val="21"/>
                <w:szCs w:val="21"/>
                <w:vertAlign w:val="baseline"/>
                <w:lang w:val="en-US" w:eastAsia="zh-CN"/>
              </w:rPr>
            </w:pPr>
            <w:r>
              <w:rPr>
                <w:rFonts w:hint="eastAsia" w:ascii="宋体" w:hAnsi="宋体" w:eastAsia="宋体" w:cs="宋体"/>
                <w:b w:val="0"/>
                <w:bCs w:val="0"/>
                <w:sz w:val="21"/>
                <w:szCs w:val="21"/>
                <w:vertAlign w:val="baseline"/>
                <w:lang w:val="en-US" w:eastAsia="zh-CN"/>
              </w:rPr>
              <w:t>高压柜</w:t>
            </w:r>
            <w:r>
              <w:rPr>
                <w:rFonts w:hint="eastAsia" w:ascii="宋体" w:hAnsi="宋体" w:cs="宋体"/>
                <w:b w:val="0"/>
                <w:bCs w:val="0"/>
                <w:sz w:val="21"/>
                <w:szCs w:val="21"/>
                <w:vertAlign w:val="baseline"/>
                <w:lang w:val="en-US" w:eastAsia="zh-CN"/>
              </w:rPr>
              <w:t>接入</w:t>
            </w:r>
          </w:p>
        </w:tc>
        <w:tc>
          <w:tcPr>
            <w:tcW w:w="1527" w:type="dxa"/>
          </w:tcPr>
          <w:p w14:paraId="255895E2">
            <w:pPr>
              <w:jc w:val="center"/>
              <w:rPr>
                <w:rFonts w:hint="default" w:ascii="宋体" w:hAnsi="宋体" w:eastAsia="宋体" w:cs="宋体"/>
                <w:b w:val="0"/>
                <w:bCs w:val="0"/>
                <w:sz w:val="21"/>
                <w:szCs w:val="21"/>
                <w:vertAlign w:val="baseline"/>
                <w:lang w:val="en-US" w:eastAsia="zh-CN"/>
              </w:rPr>
            </w:pPr>
            <w:r>
              <w:rPr>
                <w:rFonts w:hint="eastAsia" w:ascii="宋体" w:hAnsi="宋体" w:eastAsia="宋体" w:cs="宋体"/>
                <w:b w:val="0"/>
                <w:bCs w:val="0"/>
                <w:sz w:val="21"/>
                <w:szCs w:val="21"/>
                <w:vertAlign w:val="baseline"/>
                <w:lang w:val="en-US" w:eastAsia="zh-CN"/>
              </w:rPr>
              <w:t>西门子/台</w:t>
            </w:r>
          </w:p>
        </w:tc>
        <w:tc>
          <w:tcPr>
            <w:tcW w:w="759" w:type="dxa"/>
          </w:tcPr>
          <w:p w14:paraId="16AC8496">
            <w:pPr>
              <w:jc w:val="center"/>
              <w:rPr>
                <w:rFonts w:hint="default" w:ascii="宋体" w:hAnsi="宋体" w:eastAsia="宋体" w:cs="宋体"/>
                <w:b w:val="0"/>
                <w:bCs w:val="0"/>
                <w:sz w:val="21"/>
                <w:szCs w:val="21"/>
                <w:vertAlign w:val="baseline"/>
                <w:lang w:val="en-US" w:eastAsia="zh-CN"/>
              </w:rPr>
            </w:pPr>
            <w:r>
              <w:rPr>
                <w:rFonts w:hint="eastAsia" w:ascii="宋体" w:hAnsi="宋体" w:eastAsia="宋体" w:cs="宋体"/>
                <w:b w:val="0"/>
                <w:bCs w:val="0"/>
                <w:sz w:val="21"/>
                <w:szCs w:val="21"/>
                <w:vertAlign w:val="baseline"/>
                <w:lang w:val="en-US" w:eastAsia="zh-CN"/>
              </w:rPr>
              <w:t>3</w:t>
            </w:r>
          </w:p>
        </w:tc>
        <w:tc>
          <w:tcPr>
            <w:tcW w:w="2385" w:type="dxa"/>
            <w:shd w:val="clear" w:color="auto" w:fill="auto"/>
            <w:vAlign w:val="top"/>
          </w:tcPr>
          <w:p w14:paraId="7AFAA55D">
            <w:pPr>
              <w:jc w:val="center"/>
              <w:rPr>
                <w:rFonts w:hint="eastAsia" w:ascii="宋体" w:hAnsi="宋体" w:eastAsia="宋体" w:cs="宋体"/>
                <w:b w:val="0"/>
                <w:bCs w:val="0"/>
                <w:kern w:val="2"/>
                <w:sz w:val="21"/>
                <w:szCs w:val="21"/>
                <w:vertAlign w:val="baseline"/>
                <w:lang w:val="en-US" w:eastAsia="zh-CN" w:bidi="ar-SA"/>
              </w:rPr>
            </w:pPr>
            <w:r>
              <w:rPr>
                <w:rFonts w:hint="eastAsia" w:ascii="宋体" w:hAnsi="宋体" w:eastAsia="宋体" w:cs="宋体"/>
                <w:b w:val="0"/>
                <w:bCs w:val="0"/>
                <w:sz w:val="21"/>
                <w:szCs w:val="21"/>
                <w:vertAlign w:val="baseline"/>
                <w:lang w:val="en-US" w:eastAsia="zh-CN"/>
              </w:rPr>
              <w:t>18万元/台/年</w:t>
            </w:r>
          </w:p>
        </w:tc>
        <w:tc>
          <w:tcPr>
            <w:tcW w:w="2167" w:type="dxa"/>
            <w:shd w:val="clear" w:color="auto" w:fill="auto"/>
            <w:vAlign w:val="top"/>
          </w:tcPr>
          <w:p w14:paraId="373F203F">
            <w:pPr>
              <w:jc w:val="center"/>
              <w:rPr>
                <w:rFonts w:hint="eastAsia" w:ascii="宋体" w:hAnsi="宋体" w:eastAsia="宋体" w:cs="宋体"/>
                <w:b w:val="0"/>
                <w:bCs w:val="0"/>
                <w:kern w:val="2"/>
                <w:sz w:val="21"/>
                <w:szCs w:val="21"/>
                <w:vertAlign w:val="baseline"/>
                <w:lang w:val="en-US" w:eastAsia="zh-CN" w:bidi="ar-SA"/>
              </w:rPr>
            </w:pPr>
            <w:r>
              <w:rPr>
                <w:rFonts w:hint="eastAsia" w:ascii="宋体" w:hAnsi="宋体" w:eastAsia="宋体" w:cs="宋体"/>
                <w:b w:val="0"/>
                <w:bCs w:val="0"/>
                <w:sz w:val="21"/>
                <w:szCs w:val="21"/>
                <w:vertAlign w:val="baseline"/>
                <w:lang w:val="en-US" w:eastAsia="zh-CN"/>
              </w:rPr>
              <w:t>54</w:t>
            </w:r>
          </w:p>
        </w:tc>
      </w:tr>
      <w:tr w14:paraId="0E38D1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1760" w:type="dxa"/>
          </w:tcPr>
          <w:p w14:paraId="55DA8ABD">
            <w:pPr>
              <w:jc w:val="center"/>
              <w:rPr>
                <w:rFonts w:hint="eastAsia" w:ascii="宋体" w:hAnsi="宋体" w:eastAsia="宋体" w:cs="宋体"/>
                <w:b w:val="0"/>
                <w:bCs w:val="0"/>
                <w:sz w:val="21"/>
                <w:szCs w:val="21"/>
                <w:vertAlign w:val="baseline"/>
                <w:lang w:val="en-US" w:eastAsia="zh-CN"/>
              </w:rPr>
            </w:pPr>
            <w:r>
              <w:rPr>
                <w:rFonts w:hint="eastAsia" w:ascii="宋体" w:hAnsi="宋体" w:cs="宋体"/>
                <w:b w:val="0"/>
                <w:bCs w:val="0"/>
                <w:sz w:val="21"/>
                <w:szCs w:val="21"/>
                <w:vertAlign w:val="baseline"/>
                <w:lang w:val="en-US" w:eastAsia="zh-CN"/>
              </w:rPr>
              <w:t>高压柜维护</w:t>
            </w:r>
          </w:p>
        </w:tc>
        <w:tc>
          <w:tcPr>
            <w:tcW w:w="1527" w:type="dxa"/>
          </w:tcPr>
          <w:p w14:paraId="110FA1D1">
            <w:pPr>
              <w:jc w:val="center"/>
              <w:rPr>
                <w:rFonts w:hint="eastAsia" w:ascii="宋体" w:hAnsi="宋体" w:eastAsia="宋体" w:cs="宋体"/>
                <w:b w:val="0"/>
                <w:bCs w:val="0"/>
                <w:sz w:val="21"/>
                <w:szCs w:val="21"/>
                <w:vertAlign w:val="baseline"/>
                <w:lang w:val="en-US" w:eastAsia="zh-CN"/>
              </w:rPr>
            </w:pPr>
            <w:r>
              <w:rPr>
                <w:rFonts w:hint="eastAsia" w:ascii="宋体" w:hAnsi="宋体" w:eastAsia="宋体" w:cs="宋体"/>
                <w:b w:val="0"/>
                <w:bCs w:val="0"/>
                <w:sz w:val="21"/>
                <w:szCs w:val="21"/>
                <w:vertAlign w:val="baseline"/>
                <w:lang w:val="en-US" w:eastAsia="zh-CN"/>
              </w:rPr>
              <w:t>西门子/台</w:t>
            </w:r>
          </w:p>
        </w:tc>
        <w:tc>
          <w:tcPr>
            <w:tcW w:w="759" w:type="dxa"/>
          </w:tcPr>
          <w:p w14:paraId="420D6E31">
            <w:pPr>
              <w:jc w:val="center"/>
              <w:rPr>
                <w:rFonts w:hint="eastAsia" w:ascii="宋体" w:hAnsi="宋体" w:eastAsia="宋体" w:cs="宋体"/>
                <w:b w:val="0"/>
                <w:bCs w:val="0"/>
                <w:sz w:val="21"/>
                <w:szCs w:val="21"/>
                <w:vertAlign w:val="baseline"/>
                <w:lang w:val="en-US" w:eastAsia="zh-CN"/>
              </w:rPr>
            </w:pPr>
            <w:r>
              <w:rPr>
                <w:rFonts w:hint="eastAsia" w:ascii="宋体" w:hAnsi="宋体" w:eastAsia="宋体" w:cs="宋体"/>
                <w:b w:val="0"/>
                <w:bCs w:val="0"/>
                <w:sz w:val="21"/>
                <w:szCs w:val="21"/>
                <w:vertAlign w:val="baseline"/>
                <w:lang w:val="en-US" w:eastAsia="zh-CN"/>
              </w:rPr>
              <w:t>3</w:t>
            </w:r>
          </w:p>
        </w:tc>
        <w:tc>
          <w:tcPr>
            <w:tcW w:w="2385" w:type="dxa"/>
            <w:shd w:val="clear" w:color="auto" w:fill="auto"/>
            <w:vAlign w:val="top"/>
          </w:tcPr>
          <w:p w14:paraId="0FE3ACE8">
            <w:pPr>
              <w:jc w:val="center"/>
              <w:rPr>
                <w:rFonts w:hint="eastAsia" w:ascii="宋体" w:hAnsi="宋体" w:eastAsia="宋体" w:cs="宋体"/>
                <w:b w:val="0"/>
                <w:bCs w:val="0"/>
                <w:sz w:val="21"/>
                <w:szCs w:val="21"/>
                <w:vertAlign w:val="baseline"/>
                <w:lang w:val="en-US" w:eastAsia="zh-CN"/>
              </w:rPr>
            </w:pPr>
            <w:r>
              <w:rPr>
                <w:rFonts w:hint="eastAsia" w:ascii="宋体" w:hAnsi="宋体" w:eastAsia="宋体" w:cs="宋体"/>
                <w:b w:val="0"/>
                <w:bCs w:val="0"/>
                <w:sz w:val="21"/>
                <w:szCs w:val="21"/>
                <w:vertAlign w:val="baseline"/>
                <w:lang w:val="en-US" w:eastAsia="zh-CN"/>
              </w:rPr>
              <w:t>1</w:t>
            </w:r>
            <w:r>
              <w:rPr>
                <w:rFonts w:hint="eastAsia" w:ascii="宋体" w:hAnsi="宋体" w:cs="宋体"/>
                <w:b w:val="0"/>
                <w:bCs w:val="0"/>
                <w:sz w:val="21"/>
                <w:szCs w:val="21"/>
                <w:vertAlign w:val="baseline"/>
                <w:lang w:val="en-US" w:eastAsia="zh-CN"/>
              </w:rPr>
              <w:t>5</w:t>
            </w:r>
            <w:r>
              <w:rPr>
                <w:rFonts w:hint="eastAsia" w:ascii="宋体" w:hAnsi="宋体" w:eastAsia="宋体" w:cs="宋体"/>
                <w:b w:val="0"/>
                <w:bCs w:val="0"/>
                <w:sz w:val="21"/>
                <w:szCs w:val="21"/>
                <w:vertAlign w:val="baseline"/>
                <w:lang w:val="en-US" w:eastAsia="zh-CN"/>
              </w:rPr>
              <w:t>万元/台/年</w:t>
            </w:r>
          </w:p>
        </w:tc>
        <w:tc>
          <w:tcPr>
            <w:tcW w:w="2167" w:type="dxa"/>
            <w:shd w:val="clear" w:color="auto" w:fill="auto"/>
            <w:vAlign w:val="top"/>
          </w:tcPr>
          <w:p w14:paraId="77BFDAC9">
            <w:pPr>
              <w:jc w:val="center"/>
              <w:rPr>
                <w:rFonts w:hint="eastAsia" w:ascii="宋体" w:hAnsi="宋体" w:eastAsia="宋体" w:cs="宋体"/>
                <w:b w:val="0"/>
                <w:bCs w:val="0"/>
                <w:sz w:val="21"/>
                <w:szCs w:val="21"/>
                <w:vertAlign w:val="baseline"/>
                <w:lang w:val="en-US" w:eastAsia="zh-CN"/>
              </w:rPr>
            </w:pPr>
            <w:r>
              <w:rPr>
                <w:rFonts w:hint="eastAsia" w:ascii="宋体" w:hAnsi="宋体" w:eastAsia="宋体" w:cs="宋体"/>
                <w:b w:val="0"/>
                <w:bCs w:val="0"/>
                <w:sz w:val="21"/>
                <w:szCs w:val="21"/>
                <w:vertAlign w:val="baseline"/>
                <w:lang w:val="en-US" w:eastAsia="zh-CN"/>
              </w:rPr>
              <w:t>4</w:t>
            </w:r>
            <w:r>
              <w:rPr>
                <w:rFonts w:hint="eastAsia" w:ascii="宋体" w:hAnsi="宋体" w:cs="宋体"/>
                <w:b w:val="0"/>
                <w:bCs w:val="0"/>
                <w:sz w:val="21"/>
                <w:szCs w:val="21"/>
                <w:vertAlign w:val="baseline"/>
                <w:lang w:val="en-US" w:eastAsia="zh-CN"/>
              </w:rPr>
              <w:t>5</w:t>
            </w:r>
          </w:p>
        </w:tc>
      </w:tr>
    </w:tbl>
    <w:p w14:paraId="38D5D2AC">
      <w:pPr>
        <w:keepNext w:val="0"/>
        <w:keepLines w:val="0"/>
        <w:pageBreakBefore w:val="0"/>
        <w:widowControl w:val="0"/>
        <w:numPr>
          <w:ilvl w:val="-1"/>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3.投建方负责完善铜仁机场基础服务配套设施实现能源节约。投建方根据铜仁机场实际需求，适时建设新能源充电站，采用光伏车棚实现光充一体化，具体合作事宜在项目实施时进行商议。</w:t>
      </w:r>
    </w:p>
    <w:p w14:paraId="0770810E">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color w:val="auto"/>
          <w:sz w:val="32"/>
          <w:szCs w:val="32"/>
          <w:lang w:val="en-US" w:eastAsia="zh-CN"/>
        </w:rPr>
        <w:t>4.节约机场运行保障能源费用。结合目前铜仁机场生产运行保障用电情况，2025年后，铜仁机场预计年用电量约350万KWH，目前贵州电网公司代理购电的用户电价为0.6932元/KWH，投建方供应的铜仁机场自用电价格应不高于此电价标准的6折</w:t>
      </w:r>
      <w:r>
        <w:rPr>
          <w:rFonts w:hint="eastAsia" w:ascii="仿宋" w:hAnsi="仿宋" w:eastAsia="仿宋" w:cs="仿宋"/>
          <w:sz w:val="32"/>
          <w:szCs w:val="32"/>
          <w:lang w:val="en-US" w:eastAsia="zh-CN"/>
        </w:rPr>
        <w:t>。</w:t>
      </w:r>
    </w:p>
    <w:p w14:paraId="34C28EFE">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5.投建方负责在铜仁机场中心变电站设置一套</w:t>
      </w:r>
      <w:r>
        <w:rPr>
          <w:rFonts w:hint="eastAsia" w:ascii="仿宋" w:hAnsi="仿宋" w:eastAsia="仿宋" w:cs="仿宋"/>
          <w:color w:val="auto"/>
          <w:sz w:val="32"/>
          <w:szCs w:val="32"/>
          <w:highlight w:val="none"/>
          <w:lang w:val="en-US" w:eastAsia="zh-CN"/>
        </w:rPr>
        <w:t>3x3的55英寸</w:t>
      </w:r>
      <w:r>
        <w:rPr>
          <w:rFonts w:hint="eastAsia" w:ascii="仿宋" w:hAnsi="仿宋" w:eastAsia="仿宋" w:cs="仿宋"/>
          <w:color w:val="auto"/>
          <w:sz w:val="32"/>
          <w:szCs w:val="32"/>
          <w:lang w:val="en-US" w:eastAsia="zh-CN"/>
        </w:rPr>
        <w:t>拼接屏，并接入光伏系统相关数据，以便实现能源集中管控。</w:t>
      </w:r>
    </w:p>
    <w:p w14:paraId="699E6764">
      <w:pPr>
        <w:keepNext w:val="0"/>
        <w:keepLines w:val="0"/>
        <w:pageBreakBefore w:val="0"/>
        <w:widowControl w:val="0"/>
        <w:numPr>
          <w:ilvl w:val="-1"/>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color w:val="auto"/>
          <w:sz w:val="32"/>
          <w:szCs w:val="32"/>
          <w:lang w:val="en-US" w:eastAsia="zh-CN"/>
        </w:rPr>
        <w:t>6.本项目委托</w:t>
      </w:r>
      <w:r>
        <w:rPr>
          <w:rFonts w:hint="eastAsia" w:ascii="仿宋" w:hAnsi="仿宋" w:eastAsia="仿宋" w:cs="仿宋"/>
          <w:sz w:val="32"/>
          <w:szCs w:val="32"/>
          <w:lang w:val="en-US" w:eastAsia="zh-CN"/>
        </w:rPr>
        <w:t>贵州阳光产权交易所有限公司作为本次招商的服务机构，招商代理服务相关费用由投建方负责支付。招商代理服务费用按照黔产权通(2022）36号文《贵州阳光产权交易所有限公司关于收入服务费收取标准的通知》执行。</w:t>
      </w:r>
    </w:p>
    <w:p w14:paraId="7D14214F">
      <w:pPr>
        <w:keepNext w:val="0"/>
        <w:keepLines w:val="0"/>
        <w:pageBreakBefore w:val="0"/>
        <w:widowControl/>
        <w:numPr>
          <w:ilvl w:val="-1"/>
          <w:numId w:val="0"/>
        </w:numPr>
        <w:kinsoku/>
        <w:wordWrap/>
        <w:overflowPunct/>
        <w:topLinePunct w:val="0"/>
        <w:autoSpaceDE/>
        <w:autoSpaceDN/>
        <w:bidi w:val="0"/>
        <w:adjustRightInd/>
        <w:snapToGrid/>
        <w:spacing w:line="240" w:lineRule="auto"/>
        <w:ind w:firstLine="640" w:firstLineChars="200"/>
        <w:jc w:val="left"/>
        <w:textAlignment w:val="auto"/>
        <w:rPr>
          <w:rFonts w:hint="eastAsia" w:ascii="仿宋" w:hAnsi="仿宋" w:eastAsia="仿宋" w:cs="仿宋"/>
          <w:sz w:val="32"/>
          <w:szCs w:val="32"/>
          <w:highlight w:val="none"/>
        </w:rPr>
      </w:pPr>
      <w:r>
        <w:rPr>
          <w:rFonts w:hint="eastAsia" w:ascii="仿宋" w:hAnsi="仿宋" w:eastAsia="仿宋" w:cs="仿宋"/>
          <w:color w:val="auto"/>
          <w:sz w:val="32"/>
          <w:szCs w:val="32"/>
          <w:lang w:val="en-US" w:eastAsia="zh-CN"/>
        </w:rPr>
        <w:t>7.</w:t>
      </w:r>
      <w:r>
        <w:rPr>
          <w:rFonts w:hint="eastAsia" w:ascii="仿宋" w:hAnsi="仿宋" w:eastAsia="仿宋" w:cs="仿宋"/>
          <w:sz w:val="32"/>
          <w:szCs w:val="32"/>
          <w:lang w:val="en-US" w:eastAsia="zh-CN"/>
        </w:rPr>
        <w:t>投建</w:t>
      </w:r>
      <w:r>
        <w:rPr>
          <w:rFonts w:hint="eastAsia" w:ascii="仿宋" w:hAnsi="仿宋" w:eastAsia="仿宋" w:cs="仿宋"/>
          <w:sz w:val="32"/>
          <w:szCs w:val="32"/>
          <w:highlight w:val="none"/>
          <w:lang w:val="en-US" w:eastAsia="zh-CN"/>
        </w:rPr>
        <w:t>方在</w:t>
      </w:r>
      <w:r>
        <w:rPr>
          <w:rFonts w:hint="eastAsia" w:ascii="仿宋" w:hAnsi="仿宋" w:eastAsia="仿宋" w:cs="仿宋"/>
          <w:sz w:val="32"/>
          <w:szCs w:val="32"/>
          <w:highlight w:val="none"/>
          <w:lang w:eastAsia="zh-CN"/>
        </w:rPr>
        <w:t>合作期</w:t>
      </w:r>
      <w:r>
        <w:rPr>
          <w:rFonts w:hint="eastAsia" w:ascii="仿宋" w:hAnsi="仿宋" w:eastAsia="仿宋" w:cs="仿宋"/>
          <w:sz w:val="32"/>
          <w:szCs w:val="32"/>
          <w:highlight w:val="none"/>
        </w:rPr>
        <w:t>内不得以任何方式转让</w:t>
      </w:r>
      <w:r>
        <w:rPr>
          <w:rFonts w:hint="eastAsia" w:ascii="仿宋" w:hAnsi="仿宋" w:eastAsia="仿宋" w:cs="仿宋"/>
          <w:sz w:val="32"/>
          <w:szCs w:val="32"/>
          <w:highlight w:val="none"/>
          <w:lang w:eastAsia="zh-CN"/>
        </w:rPr>
        <w:t>、出让、租赁、</w:t>
      </w:r>
      <w:r>
        <w:rPr>
          <w:rFonts w:hint="eastAsia" w:ascii="仿宋" w:hAnsi="仿宋" w:eastAsia="仿宋" w:cs="仿宋"/>
          <w:sz w:val="32"/>
          <w:szCs w:val="32"/>
          <w:highlight w:val="none"/>
          <w:lang w:val="en-US" w:eastAsia="zh-CN"/>
        </w:rPr>
        <w:t>抵押</w:t>
      </w:r>
      <w:r>
        <w:rPr>
          <w:rFonts w:hint="eastAsia" w:ascii="仿宋" w:hAnsi="仿宋" w:eastAsia="仿宋" w:cs="仿宋"/>
          <w:sz w:val="32"/>
          <w:szCs w:val="32"/>
          <w:highlight w:val="none"/>
        </w:rPr>
        <w:t>本项目。</w:t>
      </w:r>
    </w:p>
    <w:p w14:paraId="613131E5">
      <w:pPr>
        <w:keepNext w:val="0"/>
        <w:keepLines w:val="0"/>
        <w:pageBreakBefore w:val="0"/>
        <w:widowControl/>
        <w:numPr>
          <w:ilvl w:val="-1"/>
          <w:numId w:val="0"/>
        </w:numPr>
        <w:kinsoku/>
        <w:wordWrap/>
        <w:overflowPunct/>
        <w:topLinePunct w:val="0"/>
        <w:autoSpaceDE/>
        <w:autoSpaceDN/>
        <w:bidi w:val="0"/>
        <w:adjustRightInd/>
        <w:snapToGrid/>
        <w:spacing w:line="240" w:lineRule="auto"/>
        <w:ind w:firstLine="640" w:firstLineChars="200"/>
        <w:jc w:val="left"/>
        <w:textAlignment w:val="auto"/>
        <w:rPr>
          <w:rFonts w:hint="default" w:ascii="仿宋" w:hAnsi="仿宋" w:eastAsia="仿宋" w:cs="仿宋"/>
          <w:sz w:val="32"/>
          <w:szCs w:val="32"/>
          <w:highlight w:val="none"/>
          <w:lang w:val="en-US" w:eastAsia="zh-CN"/>
        </w:rPr>
      </w:pPr>
      <w:r>
        <w:rPr>
          <w:rFonts w:hint="eastAsia" w:ascii="仿宋" w:hAnsi="仿宋" w:eastAsia="仿宋" w:cs="仿宋"/>
          <w:sz w:val="32"/>
          <w:szCs w:val="32"/>
          <w:highlight w:val="none"/>
          <w:lang w:val="en-US" w:eastAsia="zh-CN"/>
        </w:rPr>
        <w:t>8.本项目铜仁机场不统一组织现场踏勘，由投建方自行前往项目使用区域踏勘。</w:t>
      </w:r>
    </w:p>
    <w:p w14:paraId="75BA0CB4">
      <w:pPr>
        <w:pStyle w:val="4"/>
        <w:keepNext/>
        <w:keepLines/>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楷体" w:hAnsi="楷体" w:eastAsia="楷体" w:cs="楷体"/>
          <w:b w:val="0"/>
          <w:bCs w:val="0"/>
          <w:sz w:val="32"/>
          <w:szCs w:val="32"/>
          <w:highlight w:val="none"/>
          <w:lang w:val="en-US" w:eastAsia="zh-CN"/>
        </w:rPr>
      </w:pPr>
      <w:bookmarkStart w:id="137" w:name="_Toc13973"/>
      <w:bookmarkStart w:id="138" w:name="_Toc6588"/>
      <w:bookmarkStart w:id="139" w:name="_Toc3376"/>
      <w:bookmarkStart w:id="140" w:name="_Toc20416"/>
      <w:bookmarkStart w:id="141" w:name="_Toc14158"/>
      <w:bookmarkStart w:id="142" w:name="_Toc4752"/>
      <w:bookmarkStart w:id="143" w:name="_Toc23249"/>
      <w:bookmarkStart w:id="144" w:name="_Toc9648"/>
      <w:bookmarkStart w:id="145" w:name="_Toc30671"/>
      <w:bookmarkStart w:id="146" w:name="_Toc6401"/>
      <w:bookmarkStart w:id="147" w:name="_Toc16905"/>
      <w:r>
        <w:rPr>
          <w:rFonts w:hint="eastAsia" w:ascii="楷体" w:hAnsi="楷体" w:eastAsia="楷体" w:cs="楷体"/>
          <w:b w:val="0"/>
          <w:bCs w:val="0"/>
          <w:sz w:val="32"/>
          <w:szCs w:val="32"/>
          <w:highlight w:val="none"/>
          <w:lang w:val="en-US" w:eastAsia="zh-CN"/>
        </w:rPr>
        <w:t>（五）合同履约保证金要</w:t>
      </w:r>
      <w:bookmarkStart w:id="286" w:name="_GoBack"/>
      <w:bookmarkEnd w:id="286"/>
      <w:r>
        <w:rPr>
          <w:rFonts w:hint="eastAsia" w:ascii="楷体" w:hAnsi="楷体" w:eastAsia="楷体" w:cs="楷体"/>
          <w:b w:val="0"/>
          <w:bCs w:val="0"/>
          <w:sz w:val="32"/>
          <w:szCs w:val="32"/>
          <w:highlight w:val="none"/>
          <w:lang w:val="en-US" w:eastAsia="zh-CN"/>
        </w:rPr>
        <w:t>求</w:t>
      </w:r>
      <w:bookmarkEnd w:id="137"/>
      <w:bookmarkEnd w:id="138"/>
      <w:bookmarkEnd w:id="139"/>
      <w:bookmarkEnd w:id="140"/>
      <w:bookmarkEnd w:id="141"/>
      <w:bookmarkEnd w:id="142"/>
      <w:bookmarkEnd w:id="143"/>
      <w:bookmarkEnd w:id="144"/>
      <w:bookmarkEnd w:id="145"/>
      <w:bookmarkEnd w:id="146"/>
      <w:bookmarkEnd w:id="147"/>
    </w:p>
    <w:p w14:paraId="4C207143">
      <w:pPr>
        <w:keepNext w:val="0"/>
        <w:keepLines w:val="0"/>
        <w:pageBreakBefore w:val="0"/>
        <w:widowControl w:val="0"/>
        <w:numPr>
          <w:ilvl w:val="0"/>
          <w:numId w:val="0"/>
        </w:numPr>
        <w:shd w:val="clear"/>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投建方签订合同后15个日历日内，须向铜仁机场缴纳人民币100万元作为合同履约保证金。</w:t>
      </w:r>
    </w:p>
    <w:p w14:paraId="3720805B">
      <w:pPr>
        <w:numPr>
          <w:ilvl w:val="0"/>
          <w:numId w:val="0"/>
        </w:numPr>
        <w:spacing w:line="560" w:lineRule="exact"/>
        <w:ind w:firstLine="640" w:firstLineChars="200"/>
        <w:jc w:val="left"/>
        <w:rPr>
          <w:rFonts w:hint="eastAsia" w:ascii="仿宋" w:hAnsi="仿宋" w:eastAsia="仿宋" w:cs="仿宋"/>
          <w:kern w:val="2"/>
          <w:sz w:val="32"/>
          <w:szCs w:val="32"/>
          <w:lang w:val="en-US" w:eastAsia="zh-CN" w:bidi="ar-SA"/>
        </w:rPr>
      </w:pPr>
      <w:r>
        <w:rPr>
          <w:rFonts w:hint="eastAsia" w:ascii="仿宋" w:hAnsi="仿宋" w:eastAsia="仿宋" w:cs="仿宋"/>
          <w:color w:val="auto"/>
          <w:sz w:val="32"/>
          <w:szCs w:val="32"/>
          <w:lang w:val="en-US" w:eastAsia="zh-CN"/>
        </w:rPr>
        <w:t>1）投资方在合同生效后按照项目建设及并网周期约定时间内完成项目建设及并网工作，铜仁机场在项目完成建设并网后60个日历日内无息退还投建方人民币80万元合同履约保证金。</w:t>
      </w:r>
      <w:r>
        <w:rPr>
          <w:rFonts w:hint="eastAsia" w:ascii="仿宋" w:hAnsi="仿宋" w:eastAsia="仿宋" w:cs="仿宋"/>
          <w:kern w:val="2"/>
          <w:sz w:val="32"/>
          <w:szCs w:val="32"/>
          <w:lang w:val="en-US" w:eastAsia="zh-CN" w:bidi="ar-SA"/>
        </w:rPr>
        <w:t>如投建方未按照合同建设及并网周期约定时间完成项目建设及并网工作，则视为投建方违约，铜仁机场可单方面解除合同且不承担任何违约责任和其他相关责任，投建方缴纳的合同履约保金证不予退回，并作为违约金归铜仁机场所有。</w:t>
      </w:r>
    </w:p>
    <w:p w14:paraId="61B4445F">
      <w:pPr>
        <w:keepNext w:val="0"/>
        <w:keepLines w:val="0"/>
        <w:pageBreakBefore w:val="0"/>
        <w:widowControl w:val="0"/>
        <w:numPr>
          <w:ilvl w:val="0"/>
          <w:numId w:val="0"/>
        </w:numPr>
        <w:shd w:val="clear"/>
        <w:kinsoku/>
        <w:wordWrap/>
        <w:overflowPunct/>
        <w:topLinePunct w:val="0"/>
        <w:autoSpaceDE/>
        <w:autoSpaceDN/>
        <w:bidi w:val="0"/>
        <w:adjustRightInd/>
        <w:snapToGrid/>
        <w:spacing w:line="560" w:lineRule="exact"/>
        <w:ind w:firstLine="640" w:firstLineChars="200"/>
        <w:jc w:val="both"/>
        <w:textAlignment w:val="auto"/>
        <w:rPr>
          <w:rFonts w:hint="eastAsia" w:ascii="黑体" w:hAnsi="黑体" w:eastAsia="黑体" w:cs="黑体"/>
          <w:b w:val="0"/>
          <w:bCs w:val="0"/>
          <w:sz w:val="32"/>
          <w:szCs w:val="32"/>
          <w:lang w:val="en-US" w:eastAsia="zh-CN"/>
        </w:rPr>
      </w:pPr>
      <w:r>
        <w:rPr>
          <w:rFonts w:hint="eastAsia" w:ascii="仿宋" w:hAnsi="仿宋" w:eastAsia="仿宋" w:cs="仿宋"/>
          <w:color w:val="auto"/>
          <w:sz w:val="32"/>
          <w:szCs w:val="32"/>
          <w:lang w:val="en-US" w:eastAsia="zh-CN"/>
        </w:rPr>
        <w:t>2）项目并网投用后，剩余人民币20万元作为合同履约保证金，合同到期且无违约情况下，合同期满后60个日历日内铜仁机场无息退还投建方。</w:t>
      </w:r>
      <w:bookmarkStart w:id="148" w:name="_Toc11852"/>
      <w:bookmarkStart w:id="149" w:name="_Toc5315"/>
    </w:p>
    <w:p w14:paraId="67BC9910">
      <w:pPr>
        <w:pStyle w:val="3"/>
        <w:keepNext/>
        <w:keepLines/>
        <w:widowControl w:val="0"/>
        <w:spacing w:line="560" w:lineRule="exact"/>
        <w:ind w:firstLine="640" w:firstLineChars="200"/>
        <w:rPr>
          <w:rFonts w:hint="eastAsia" w:ascii="黑体" w:hAnsi="黑体" w:eastAsia="黑体" w:cs="黑体"/>
          <w:b w:val="0"/>
          <w:bCs w:val="0"/>
          <w:kern w:val="2"/>
          <w:sz w:val="32"/>
          <w:szCs w:val="32"/>
          <w:lang w:val="en-US" w:eastAsia="zh-CN"/>
        </w:rPr>
      </w:pPr>
      <w:bookmarkStart w:id="150" w:name="_Toc27958"/>
      <w:bookmarkStart w:id="151" w:name="_Toc24884"/>
      <w:bookmarkStart w:id="152" w:name="_Toc351"/>
      <w:bookmarkStart w:id="153" w:name="_Toc5550"/>
      <w:bookmarkStart w:id="154" w:name="_Toc8863"/>
      <w:bookmarkStart w:id="155" w:name="_Toc16822"/>
      <w:bookmarkStart w:id="156" w:name="_Toc1849"/>
      <w:bookmarkStart w:id="157" w:name="_Toc8310"/>
      <w:bookmarkStart w:id="158" w:name="_Toc9772"/>
      <w:bookmarkStart w:id="159" w:name="_Toc6954"/>
      <w:r>
        <w:rPr>
          <w:rFonts w:hint="eastAsia" w:ascii="黑体" w:hAnsi="黑体" w:eastAsia="黑体" w:cs="黑体"/>
          <w:b w:val="0"/>
          <w:bCs w:val="0"/>
          <w:sz w:val="32"/>
          <w:szCs w:val="32"/>
          <w:lang w:val="en-US" w:eastAsia="zh-CN"/>
        </w:rPr>
        <w:t>五、意向</w:t>
      </w:r>
      <w:r>
        <w:rPr>
          <w:rFonts w:hint="eastAsia" w:ascii="黑体" w:hAnsi="黑体" w:eastAsia="黑体" w:cs="黑体"/>
          <w:b w:val="0"/>
          <w:bCs w:val="0"/>
          <w:kern w:val="2"/>
          <w:sz w:val="32"/>
          <w:szCs w:val="32"/>
          <w:lang w:val="en-US" w:eastAsia="zh-CN"/>
        </w:rPr>
        <w:t>投建方条件</w:t>
      </w:r>
      <w:bookmarkEnd w:id="150"/>
      <w:bookmarkEnd w:id="151"/>
      <w:bookmarkEnd w:id="152"/>
      <w:bookmarkEnd w:id="153"/>
      <w:bookmarkEnd w:id="154"/>
      <w:bookmarkEnd w:id="155"/>
      <w:bookmarkEnd w:id="156"/>
      <w:bookmarkEnd w:id="157"/>
      <w:bookmarkEnd w:id="158"/>
      <w:bookmarkEnd w:id="159"/>
    </w:p>
    <w:p w14:paraId="0A31877F">
      <w:pPr>
        <w:pStyle w:val="4"/>
        <w:keepNext/>
        <w:keepLines/>
        <w:spacing w:line="560" w:lineRule="exact"/>
        <w:ind w:firstLine="640" w:firstLineChars="200"/>
        <w:rPr>
          <w:rFonts w:hint="eastAsia" w:ascii="楷体" w:hAnsi="楷体" w:eastAsia="楷体" w:cs="楷体"/>
          <w:b w:val="0"/>
          <w:bCs w:val="0"/>
          <w:sz w:val="32"/>
          <w:szCs w:val="32"/>
          <w:lang w:val="en-US" w:eastAsia="zh-CN"/>
        </w:rPr>
      </w:pPr>
      <w:bookmarkStart w:id="160" w:name="_Toc14178"/>
      <w:bookmarkStart w:id="161" w:name="_Toc25621"/>
      <w:bookmarkStart w:id="162" w:name="_Toc20945"/>
      <w:bookmarkStart w:id="163" w:name="_Toc28664"/>
      <w:bookmarkStart w:id="164" w:name="_Toc15745"/>
      <w:bookmarkStart w:id="165" w:name="_Toc12185"/>
      <w:bookmarkStart w:id="166" w:name="_Toc22599"/>
      <w:bookmarkStart w:id="167" w:name="_Toc16393"/>
      <w:bookmarkStart w:id="168" w:name="_Toc8025"/>
      <w:r>
        <w:rPr>
          <w:rFonts w:hint="eastAsia" w:ascii="楷体" w:hAnsi="楷体" w:eastAsia="楷体" w:cs="楷体"/>
          <w:b w:val="0"/>
          <w:bCs w:val="0"/>
          <w:sz w:val="32"/>
          <w:szCs w:val="32"/>
        </w:rPr>
        <w:t>（一）</w:t>
      </w:r>
      <w:r>
        <w:rPr>
          <w:rFonts w:hint="eastAsia" w:ascii="楷体" w:hAnsi="楷体" w:eastAsia="楷体" w:cs="楷体"/>
          <w:b w:val="0"/>
          <w:bCs w:val="0"/>
          <w:sz w:val="32"/>
          <w:szCs w:val="32"/>
          <w:lang w:eastAsia="zh-CN"/>
        </w:rPr>
        <w:t>意向投建方</w:t>
      </w:r>
      <w:r>
        <w:rPr>
          <w:rFonts w:hint="eastAsia" w:ascii="楷体" w:hAnsi="楷体" w:eastAsia="楷体" w:cs="楷体"/>
          <w:b w:val="0"/>
          <w:bCs w:val="0"/>
          <w:sz w:val="32"/>
          <w:szCs w:val="32"/>
        </w:rPr>
        <w:t>需提供以下材料</w:t>
      </w:r>
      <w:bookmarkEnd w:id="160"/>
      <w:bookmarkEnd w:id="161"/>
      <w:bookmarkEnd w:id="162"/>
      <w:bookmarkEnd w:id="163"/>
      <w:bookmarkEnd w:id="164"/>
      <w:bookmarkEnd w:id="165"/>
      <w:bookmarkEnd w:id="166"/>
      <w:bookmarkEnd w:id="167"/>
      <w:bookmarkEnd w:id="168"/>
    </w:p>
    <w:bookmarkEnd w:id="148"/>
    <w:bookmarkEnd w:id="149"/>
    <w:p w14:paraId="6472B937">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default" w:ascii="仿宋" w:hAnsi="仿宋" w:eastAsia="仿宋" w:cs="仿宋"/>
          <w:sz w:val="32"/>
          <w:szCs w:val="32"/>
          <w:lang w:val="en-US" w:eastAsia="zh-CN"/>
        </w:rPr>
      </w:pPr>
      <w:r>
        <w:rPr>
          <w:rFonts w:hint="default" w:ascii="仿宋" w:hAnsi="仿宋" w:eastAsia="仿宋" w:cs="仿宋"/>
          <w:sz w:val="32"/>
          <w:szCs w:val="32"/>
          <w:lang w:val="en-US" w:eastAsia="zh-CN"/>
        </w:rPr>
        <w:t>1.独立法人资格或由总公司授权的分公司企业营业执照（总公司授权的分公司授权书，且营业执照中有新能源投资开发等相关服务经营范围）；</w:t>
      </w:r>
    </w:p>
    <w:p w14:paraId="1F3D3CD1">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default" w:ascii="仿宋" w:hAnsi="仿宋" w:eastAsia="仿宋" w:cs="仿宋"/>
          <w:sz w:val="32"/>
          <w:szCs w:val="32"/>
          <w:lang w:val="en-US" w:eastAsia="zh-CN"/>
        </w:rPr>
      </w:pPr>
      <w:r>
        <w:rPr>
          <w:rFonts w:hint="default" w:ascii="仿宋" w:hAnsi="仿宋" w:eastAsia="仿宋" w:cs="仿宋"/>
          <w:sz w:val="32"/>
          <w:szCs w:val="32"/>
          <w:lang w:val="en-US" w:eastAsia="zh-CN"/>
        </w:rPr>
        <w:t>2.开户许可及机构信用代码（开户许可齐全且合法有效；机构信用代码在“信用中国”查询未列入“失信惩戒”名单，“信用中国”应提供截图并加盖公章、国家企业信息公示系统查询应提供截图并加盖公章）；</w:t>
      </w:r>
    </w:p>
    <w:p w14:paraId="6FDCB890">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default" w:ascii="仿宋" w:hAnsi="仿宋" w:eastAsia="仿宋" w:cs="仿宋"/>
          <w:sz w:val="32"/>
          <w:szCs w:val="32"/>
          <w:lang w:val="en-US" w:eastAsia="zh-CN"/>
        </w:rPr>
      </w:pPr>
      <w:r>
        <w:rPr>
          <w:rFonts w:hint="default" w:ascii="仿宋" w:hAnsi="仿宋" w:eastAsia="仿宋" w:cs="仿宋"/>
          <w:sz w:val="32"/>
          <w:szCs w:val="32"/>
          <w:lang w:val="en-US" w:eastAsia="zh-CN"/>
        </w:rPr>
        <w:t>3.法定代表人身份证复印件；</w:t>
      </w:r>
    </w:p>
    <w:p w14:paraId="51D85857">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default" w:ascii="仿宋" w:hAnsi="仿宋" w:eastAsia="仿宋" w:cs="仿宋"/>
          <w:sz w:val="32"/>
          <w:szCs w:val="32"/>
          <w:lang w:val="en-US" w:eastAsia="zh-CN"/>
        </w:rPr>
      </w:pPr>
      <w:r>
        <w:rPr>
          <w:rFonts w:hint="default" w:ascii="仿宋" w:hAnsi="仿宋" w:eastAsia="仿宋" w:cs="仿宋"/>
          <w:sz w:val="32"/>
          <w:szCs w:val="32"/>
          <w:lang w:val="en-US" w:eastAsia="zh-CN"/>
        </w:rPr>
        <w:t>4.提供2023年经有资质的会计师事务所出具审计报告（三表一附注）完整文件，提供2024年1月以来任意3个月纳税和社保证明；</w:t>
      </w:r>
    </w:p>
    <w:p w14:paraId="035FD99B">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default" w:ascii="仿宋" w:hAnsi="仿宋" w:eastAsia="仿宋" w:cs="仿宋"/>
          <w:sz w:val="32"/>
          <w:szCs w:val="32"/>
          <w:lang w:val="en-US" w:eastAsia="zh-CN"/>
        </w:rPr>
      </w:pPr>
      <w:r>
        <w:rPr>
          <w:rFonts w:hint="default" w:ascii="仿宋" w:hAnsi="仿宋" w:eastAsia="仿宋" w:cs="仿宋"/>
          <w:sz w:val="32"/>
          <w:szCs w:val="32"/>
          <w:lang w:val="en-US" w:eastAsia="zh-CN"/>
        </w:rPr>
        <w:t>5.相关成功开发经营案例（含图片、合同、用户证明及项目验收证书等证明材料，近三年来承担过光伏项目开发或经营的成功案例1个及以上）；</w:t>
      </w:r>
    </w:p>
    <w:p w14:paraId="3559BFDF">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default" w:ascii="仿宋" w:hAnsi="仿宋" w:eastAsia="仿宋" w:cs="仿宋"/>
          <w:sz w:val="32"/>
          <w:szCs w:val="32"/>
          <w:lang w:val="en-US" w:eastAsia="zh-CN"/>
        </w:rPr>
      </w:pPr>
      <w:r>
        <w:rPr>
          <w:rFonts w:hint="default" w:ascii="仿宋" w:hAnsi="仿宋" w:eastAsia="仿宋" w:cs="仿宋"/>
          <w:sz w:val="32"/>
          <w:szCs w:val="32"/>
          <w:lang w:val="en-US" w:eastAsia="zh-CN"/>
        </w:rPr>
        <w:t>6.具有履行合同所必需的设备和专业技术能力（提供承诺函加盖公章）</w:t>
      </w:r>
      <w:r>
        <w:rPr>
          <w:rFonts w:hint="eastAsia" w:ascii="仿宋" w:hAnsi="仿宋" w:eastAsia="仿宋" w:cs="仿宋"/>
          <w:sz w:val="32"/>
          <w:szCs w:val="32"/>
          <w:lang w:val="en-US" w:eastAsia="zh-CN"/>
        </w:rPr>
        <w:t>；</w:t>
      </w:r>
    </w:p>
    <w:p w14:paraId="02FC0F9D">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default" w:ascii="仿宋" w:hAnsi="仿宋" w:eastAsia="仿宋" w:cs="仿宋"/>
          <w:sz w:val="32"/>
          <w:szCs w:val="32"/>
          <w:lang w:val="en-US" w:eastAsia="zh-CN"/>
        </w:rPr>
      </w:pPr>
      <w:r>
        <w:rPr>
          <w:rFonts w:hint="default" w:ascii="仿宋" w:hAnsi="仿宋" w:eastAsia="仿宋" w:cs="仿宋"/>
          <w:sz w:val="32"/>
          <w:szCs w:val="32"/>
          <w:lang w:val="en-US" w:eastAsia="zh-CN"/>
        </w:rPr>
        <w:t>7.不接受联合体招商及不得分包转包。</w:t>
      </w:r>
    </w:p>
    <w:p w14:paraId="39247BC0">
      <w:pPr>
        <w:pStyle w:val="4"/>
        <w:keepNext/>
        <w:keepLines/>
        <w:adjustRightInd w:val="0"/>
        <w:snapToGrid w:val="0"/>
        <w:spacing w:line="560" w:lineRule="exact"/>
        <w:ind w:firstLine="640" w:firstLineChars="200"/>
        <w:rPr>
          <w:rFonts w:hint="eastAsia" w:ascii="楷体" w:hAnsi="楷体" w:eastAsia="楷体" w:cs="楷体"/>
          <w:b w:val="0"/>
          <w:bCs w:val="0"/>
          <w:sz w:val="32"/>
          <w:szCs w:val="32"/>
          <w:lang w:val="en-US" w:eastAsia="zh-CN"/>
        </w:rPr>
      </w:pPr>
      <w:bookmarkStart w:id="169" w:name="_Toc23614"/>
      <w:bookmarkStart w:id="170" w:name="_Toc20593"/>
      <w:bookmarkStart w:id="171" w:name="_Toc5822"/>
      <w:bookmarkStart w:id="172" w:name="_Toc28751"/>
      <w:bookmarkStart w:id="173" w:name="_Toc27256"/>
      <w:bookmarkStart w:id="174" w:name="_Toc235"/>
      <w:bookmarkStart w:id="175" w:name="_Toc564"/>
      <w:bookmarkStart w:id="176" w:name="_Toc22143"/>
      <w:bookmarkStart w:id="177" w:name="_Toc30663"/>
      <w:r>
        <w:rPr>
          <w:rFonts w:hint="eastAsia" w:ascii="楷体" w:hAnsi="楷体" w:eastAsia="楷体" w:cs="楷体"/>
          <w:b w:val="0"/>
          <w:bCs w:val="0"/>
          <w:sz w:val="32"/>
          <w:szCs w:val="32"/>
          <w:lang w:val="en-US" w:eastAsia="zh-CN"/>
        </w:rPr>
        <w:t>（二）材料要求</w:t>
      </w:r>
      <w:bookmarkEnd w:id="169"/>
      <w:bookmarkEnd w:id="170"/>
      <w:bookmarkEnd w:id="171"/>
      <w:bookmarkEnd w:id="172"/>
      <w:bookmarkEnd w:id="173"/>
      <w:bookmarkEnd w:id="174"/>
      <w:bookmarkEnd w:id="175"/>
      <w:bookmarkEnd w:id="176"/>
      <w:bookmarkEnd w:id="177"/>
    </w:p>
    <w:p w14:paraId="6ACAC6F9">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1.招商方案涉及提供的附件材料（证件、证据、说明等）原则上由投建方出具，能提供原件的提供原件，不能提供原件的提供复印件并加盖公章，所提供材料须真实有效。</w:t>
      </w:r>
    </w:p>
    <w:p w14:paraId="067D4BC2">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2.响应方案制作要符合国家、行业规范，所有页面加盖公章，提交一式叁份。</w:t>
      </w:r>
    </w:p>
    <w:p w14:paraId="0D47BF06">
      <w:pPr>
        <w:pStyle w:val="3"/>
        <w:keepNext/>
        <w:keepLines/>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黑体" w:hAnsi="黑体" w:eastAsia="黑体" w:cs="黑体"/>
          <w:b w:val="0"/>
          <w:bCs w:val="0"/>
          <w:sz w:val="32"/>
          <w:szCs w:val="32"/>
          <w:lang w:val="en-US" w:eastAsia="zh-CN"/>
        </w:rPr>
      </w:pPr>
      <w:bookmarkStart w:id="178" w:name="_Toc1688"/>
      <w:bookmarkStart w:id="179" w:name="_Toc29664"/>
      <w:bookmarkStart w:id="180" w:name="_Toc4781"/>
      <w:bookmarkStart w:id="181" w:name="_Toc19"/>
      <w:bookmarkStart w:id="182" w:name="_Toc5134"/>
      <w:bookmarkStart w:id="183" w:name="_Toc17493"/>
      <w:bookmarkStart w:id="184" w:name="_Toc8805"/>
      <w:bookmarkStart w:id="185" w:name="_Toc7218"/>
      <w:bookmarkStart w:id="186" w:name="_Toc12444"/>
      <w:bookmarkStart w:id="187" w:name="_Toc22624"/>
      <w:bookmarkStart w:id="188" w:name="_Toc22071"/>
      <w:bookmarkStart w:id="189" w:name="_Toc17529"/>
      <w:r>
        <w:rPr>
          <w:rFonts w:hint="eastAsia" w:ascii="黑体" w:hAnsi="黑体" w:eastAsia="黑体" w:cs="黑体"/>
          <w:b w:val="0"/>
          <w:bCs w:val="0"/>
          <w:sz w:val="32"/>
          <w:szCs w:val="32"/>
          <w:lang w:val="en-US" w:eastAsia="zh-CN"/>
        </w:rPr>
        <w:t>六、项目评分办法</w:t>
      </w:r>
      <w:bookmarkEnd w:id="122"/>
      <w:bookmarkEnd w:id="123"/>
      <w:bookmarkEnd w:id="178"/>
      <w:bookmarkEnd w:id="179"/>
      <w:bookmarkEnd w:id="180"/>
      <w:bookmarkEnd w:id="181"/>
      <w:bookmarkEnd w:id="182"/>
      <w:bookmarkEnd w:id="183"/>
      <w:bookmarkEnd w:id="184"/>
      <w:bookmarkEnd w:id="185"/>
      <w:bookmarkEnd w:id="186"/>
      <w:bookmarkEnd w:id="187"/>
      <w:bookmarkEnd w:id="188"/>
      <w:bookmarkEnd w:id="189"/>
      <w:bookmarkStart w:id="190" w:name="_Hlt101846155"/>
      <w:bookmarkEnd w:id="190"/>
      <w:bookmarkStart w:id="191" w:name="_Toc183682415"/>
      <w:bookmarkStart w:id="192" w:name="_Toc208849007"/>
      <w:bookmarkStart w:id="193" w:name="_Toc217446097"/>
      <w:bookmarkStart w:id="194" w:name="_Toc183582280"/>
    </w:p>
    <w:bookmarkEnd w:id="191"/>
    <w:bookmarkEnd w:id="192"/>
    <w:bookmarkEnd w:id="193"/>
    <w:bookmarkEnd w:id="194"/>
    <w:p w14:paraId="34043961">
      <w:pPr>
        <w:pStyle w:val="4"/>
        <w:keepNext/>
        <w:keepLines/>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楷体" w:hAnsi="楷体" w:eastAsia="楷体" w:cs="楷体"/>
          <w:b w:val="0"/>
          <w:bCs w:val="0"/>
          <w:sz w:val="32"/>
          <w:szCs w:val="32"/>
          <w:lang w:val="en-US" w:eastAsia="zh-CN"/>
        </w:rPr>
      </w:pPr>
      <w:bookmarkStart w:id="195" w:name="_Toc23960"/>
      <w:bookmarkStart w:id="196" w:name="_Toc3633"/>
      <w:bookmarkStart w:id="197" w:name="_Toc31495"/>
      <w:bookmarkStart w:id="198" w:name="_Toc23160"/>
      <w:bookmarkStart w:id="199" w:name="_Toc4423"/>
      <w:bookmarkStart w:id="200" w:name="_Toc13683"/>
      <w:bookmarkStart w:id="201" w:name="_Toc20311"/>
      <w:bookmarkStart w:id="202" w:name="_Toc13599"/>
      <w:bookmarkStart w:id="203" w:name="_Toc20934"/>
      <w:bookmarkStart w:id="204" w:name="_Toc3490"/>
      <w:bookmarkStart w:id="205" w:name="_Toc17627"/>
      <w:bookmarkStart w:id="206" w:name="_Toc45282607"/>
      <w:bookmarkStart w:id="207" w:name="_Toc32109"/>
      <w:bookmarkStart w:id="208" w:name="_Toc45279103"/>
      <w:r>
        <w:rPr>
          <w:rFonts w:hint="eastAsia" w:ascii="楷体" w:hAnsi="楷体" w:eastAsia="楷体" w:cs="楷体"/>
          <w:b w:val="0"/>
          <w:bCs w:val="0"/>
          <w:sz w:val="32"/>
          <w:szCs w:val="32"/>
          <w:lang w:val="en-US" w:eastAsia="zh-CN"/>
        </w:rPr>
        <w:t>（一）评分方法</w:t>
      </w:r>
      <w:bookmarkEnd w:id="195"/>
      <w:bookmarkEnd w:id="196"/>
      <w:bookmarkEnd w:id="197"/>
      <w:bookmarkEnd w:id="198"/>
      <w:bookmarkEnd w:id="199"/>
      <w:bookmarkEnd w:id="200"/>
      <w:bookmarkEnd w:id="201"/>
      <w:bookmarkEnd w:id="202"/>
      <w:bookmarkEnd w:id="203"/>
      <w:bookmarkEnd w:id="204"/>
    </w:p>
    <w:p w14:paraId="3F532BB7">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1.此次招商采用公开征集方式组织遴选工作;</w:t>
      </w:r>
    </w:p>
    <w:p w14:paraId="048BD291">
      <w:pPr>
        <w:pStyle w:val="11"/>
        <w:spacing w:before="111" w:line="560" w:lineRule="exact"/>
        <w:ind w:left="0" w:right="111" w:firstLine="640" w:firstLineChars="200"/>
        <w:rPr>
          <w:rFonts w:hint="eastAsia" w:ascii="仿宋" w:hAnsi="仿宋" w:eastAsia="仿宋" w:cs="仿宋"/>
          <w:sz w:val="32"/>
          <w:szCs w:val="32"/>
          <w:highlight w:val="yellow"/>
          <w:lang w:val="en-US" w:eastAsia="zh-CN"/>
        </w:rPr>
      </w:pPr>
      <w:r>
        <w:rPr>
          <w:rFonts w:hint="eastAsia" w:ascii="仿宋" w:hAnsi="仿宋" w:eastAsia="仿宋" w:cs="仿宋"/>
          <w:kern w:val="2"/>
          <w:sz w:val="32"/>
          <w:szCs w:val="32"/>
          <w:highlight w:val="none"/>
          <w:lang w:val="en-US" w:eastAsia="zh-CN"/>
        </w:rPr>
        <w:t>2.</w:t>
      </w:r>
      <w:r>
        <w:rPr>
          <w:rFonts w:hint="eastAsia" w:ascii="仿宋" w:hAnsi="仿宋" w:eastAsia="仿宋" w:cs="仿宋"/>
          <w:kern w:val="2"/>
          <w:sz w:val="32"/>
          <w:szCs w:val="32"/>
          <w:highlight w:val="none"/>
          <w:lang w:val="en-US" w:eastAsia="zh-CN" w:bidi="ar-SA"/>
        </w:rPr>
        <w:t>本项目招商报名投建方不足三家的，仅有一家或一家以上资质符合要求的投建方报名，本次招商正常开展。</w:t>
      </w:r>
    </w:p>
    <w:p w14:paraId="47F0DEBA">
      <w:pPr>
        <w:pStyle w:val="4"/>
        <w:keepNext/>
        <w:keepLines/>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楷体" w:hAnsi="楷体" w:eastAsia="楷体" w:cs="楷体"/>
          <w:b w:val="0"/>
          <w:bCs w:val="0"/>
          <w:sz w:val="32"/>
          <w:szCs w:val="32"/>
          <w:lang w:val="en-US" w:eastAsia="zh-CN"/>
        </w:rPr>
      </w:pPr>
      <w:bookmarkStart w:id="209" w:name="_Toc10043"/>
      <w:bookmarkStart w:id="210" w:name="_Toc19725"/>
      <w:bookmarkStart w:id="211" w:name="_Toc24602"/>
      <w:bookmarkStart w:id="212" w:name="_Toc27870"/>
      <w:bookmarkStart w:id="213" w:name="_Toc29652"/>
      <w:bookmarkStart w:id="214" w:name="_Toc14873"/>
      <w:bookmarkStart w:id="215" w:name="_Toc29190"/>
      <w:bookmarkStart w:id="216" w:name="_Toc21741"/>
      <w:bookmarkStart w:id="217" w:name="_Toc28583"/>
      <w:bookmarkStart w:id="218" w:name="_Toc20696"/>
      <w:r>
        <w:rPr>
          <w:rFonts w:hint="eastAsia" w:ascii="楷体" w:hAnsi="楷体" w:eastAsia="楷体" w:cs="楷体"/>
          <w:b w:val="0"/>
          <w:bCs w:val="0"/>
          <w:sz w:val="32"/>
          <w:szCs w:val="32"/>
          <w:lang w:val="en-US" w:eastAsia="zh-CN"/>
        </w:rPr>
        <w:t>（二）评分细则及标准</w:t>
      </w:r>
      <w:bookmarkEnd w:id="209"/>
      <w:bookmarkEnd w:id="210"/>
      <w:bookmarkEnd w:id="211"/>
      <w:bookmarkEnd w:id="212"/>
      <w:bookmarkEnd w:id="213"/>
      <w:bookmarkEnd w:id="214"/>
      <w:bookmarkEnd w:id="215"/>
      <w:bookmarkEnd w:id="216"/>
      <w:bookmarkEnd w:id="217"/>
      <w:bookmarkEnd w:id="218"/>
    </w:p>
    <w:p w14:paraId="65E82246">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1.本项目招商评分总分100分，按照综合评分最高确定投建方。</w:t>
      </w:r>
    </w:p>
    <w:bookmarkEnd w:id="205"/>
    <w:bookmarkEnd w:id="206"/>
    <w:bookmarkEnd w:id="207"/>
    <w:bookmarkEnd w:id="208"/>
    <w:p w14:paraId="70E67AD1">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sz w:val="32"/>
          <w:szCs w:val="32"/>
          <w:lang w:val="en-US" w:eastAsia="zh-CN"/>
        </w:rPr>
      </w:pPr>
      <w:bookmarkStart w:id="219" w:name="_Toc11063"/>
      <w:bookmarkStart w:id="220" w:name="_Toc30396"/>
      <w:bookmarkStart w:id="221" w:name="_Toc217446099"/>
      <w:r>
        <w:rPr>
          <w:rFonts w:hint="eastAsia" w:ascii="仿宋" w:hAnsi="仿宋" w:eastAsia="仿宋" w:cs="仿宋"/>
          <w:sz w:val="32"/>
          <w:szCs w:val="32"/>
          <w:lang w:val="en-US" w:eastAsia="zh-CN"/>
        </w:rPr>
        <w:t>2.综合评分明细表</w:t>
      </w:r>
      <w:bookmarkEnd w:id="219"/>
      <w:bookmarkEnd w:id="220"/>
    </w:p>
    <w:tbl>
      <w:tblPr>
        <w:tblStyle w:val="32"/>
        <w:tblW w:w="9139" w:type="dxa"/>
        <w:jc w:val="center"/>
        <w:tblLayout w:type="fixed"/>
        <w:tblCellMar>
          <w:top w:w="0" w:type="dxa"/>
          <w:left w:w="0" w:type="dxa"/>
          <w:bottom w:w="0" w:type="dxa"/>
          <w:right w:w="0" w:type="dxa"/>
        </w:tblCellMar>
      </w:tblPr>
      <w:tblGrid>
        <w:gridCol w:w="770"/>
        <w:gridCol w:w="1124"/>
        <w:gridCol w:w="5835"/>
        <w:gridCol w:w="705"/>
        <w:gridCol w:w="705"/>
      </w:tblGrid>
      <w:tr w14:paraId="6AD138AC">
        <w:tblPrEx>
          <w:tblCellMar>
            <w:top w:w="0" w:type="dxa"/>
            <w:left w:w="0" w:type="dxa"/>
            <w:bottom w:w="0" w:type="dxa"/>
            <w:right w:w="0" w:type="dxa"/>
          </w:tblCellMar>
        </w:tblPrEx>
        <w:trPr>
          <w:trHeight w:val="245" w:hRule="atLeast"/>
          <w:jc w:val="center"/>
        </w:trPr>
        <w:tc>
          <w:tcPr>
            <w:tcW w:w="770" w:type="dxa"/>
            <w:tcBorders>
              <w:top w:val="single" w:color="000000" w:sz="4" w:space="0"/>
              <w:left w:val="single" w:color="000000" w:sz="4" w:space="0"/>
              <w:bottom w:val="single" w:color="000000" w:sz="4" w:space="0"/>
              <w:right w:val="single" w:color="000000" w:sz="4" w:space="0"/>
            </w:tcBorders>
            <w:vAlign w:val="center"/>
          </w:tcPr>
          <w:p w14:paraId="177C1869">
            <w:pPr>
              <w:widowControl/>
              <w:jc w:val="center"/>
              <w:textAlignment w:val="center"/>
              <w:rPr>
                <w:rFonts w:hint="eastAsia" w:ascii="宋体" w:hAnsi="宋体" w:cs="宋体"/>
                <w:b w:val="0"/>
                <w:bCs w:val="0"/>
              </w:rPr>
            </w:pPr>
            <w:r>
              <w:rPr>
                <w:rFonts w:hint="eastAsia" w:ascii="宋体" w:hAnsi="宋体" w:cs="宋体"/>
                <w:b w:val="0"/>
                <w:bCs w:val="0"/>
                <w:kern w:val="0"/>
              </w:rPr>
              <w:t>序号</w:t>
            </w:r>
          </w:p>
        </w:tc>
        <w:tc>
          <w:tcPr>
            <w:tcW w:w="1124" w:type="dxa"/>
            <w:tcBorders>
              <w:top w:val="single" w:color="000000" w:sz="4" w:space="0"/>
              <w:left w:val="single" w:color="000000" w:sz="4" w:space="0"/>
              <w:bottom w:val="single" w:color="000000" w:sz="4" w:space="0"/>
              <w:right w:val="single" w:color="000000" w:sz="4" w:space="0"/>
            </w:tcBorders>
            <w:vAlign w:val="center"/>
          </w:tcPr>
          <w:p w14:paraId="773B2B0C">
            <w:pPr>
              <w:widowControl/>
              <w:jc w:val="center"/>
              <w:textAlignment w:val="center"/>
              <w:rPr>
                <w:rFonts w:hint="eastAsia" w:ascii="宋体" w:hAnsi="宋体" w:cs="宋体"/>
                <w:b w:val="0"/>
                <w:bCs w:val="0"/>
              </w:rPr>
            </w:pPr>
            <w:r>
              <w:rPr>
                <w:rFonts w:hint="eastAsia" w:ascii="宋体" w:hAnsi="宋体" w:cs="宋体"/>
                <w:b w:val="0"/>
                <w:bCs w:val="0"/>
                <w:kern w:val="0"/>
              </w:rPr>
              <w:t>评审因素</w:t>
            </w:r>
          </w:p>
        </w:tc>
        <w:tc>
          <w:tcPr>
            <w:tcW w:w="5835" w:type="dxa"/>
            <w:tcBorders>
              <w:top w:val="single" w:color="000000" w:sz="4" w:space="0"/>
              <w:left w:val="single" w:color="000000" w:sz="4" w:space="0"/>
              <w:bottom w:val="single" w:color="000000" w:sz="4" w:space="0"/>
              <w:right w:val="single" w:color="000000" w:sz="4" w:space="0"/>
            </w:tcBorders>
            <w:vAlign w:val="center"/>
          </w:tcPr>
          <w:p w14:paraId="7E41F8BC">
            <w:pPr>
              <w:widowControl/>
              <w:jc w:val="center"/>
              <w:textAlignment w:val="center"/>
              <w:rPr>
                <w:rFonts w:hint="eastAsia" w:ascii="宋体" w:hAnsi="宋体" w:cs="宋体"/>
                <w:b w:val="0"/>
                <w:bCs w:val="0"/>
              </w:rPr>
            </w:pPr>
            <w:r>
              <w:rPr>
                <w:rFonts w:hint="eastAsia" w:ascii="宋体" w:hAnsi="宋体" w:cs="宋体"/>
                <w:b w:val="0"/>
                <w:bCs w:val="0"/>
                <w:kern w:val="0"/>
              </w:rPr>
              <w:t>评审标准</w:t>
            </w:r>
          </w:p>
        </w:tc>
        <w:tc>
          <w:tcPr>
            <w:tcW w:w="705" w:type="dxa"/>
            <w:tcBorders>
              <w:top w:val="single" w:color="000000" w:sz="4" w:space="0"/>
              <w:left w:val="single" w:color="000000" w:sz="4" w:space="0"/>
              <w:bottom w:val="single" w:color="000000" w:sz="4" w:space="0"/>
              <w:right w:val="single" w:color="000000" w:sz="4" w:space="0"/>
            </w:tcBorders>
            <w:vAlign w:val="center"/>
          </w:tcPr>
          <w:p w14:paraId="17953CB5">
            <w:pPr>
              <w:widowControl/>
              <w:jc w:val="center"/>
              <w:textAlignment w:val="center"/>
              <w:rPr>
                <w:rFonts w:hint="eastAsia" w:ascii="宋体" w:hAnsi="宋体" w:cs="宋体"/>
                <w:b w:val="0"/>
                <w:bCs w:val="0"/>
              </w:rPr>
            </w:pPr>
            <w:r>
              <w:rPr>
                <w:rFonts w:hint="eastAsia" w:ascii="宋体" w:hAnsi="宋体" w:cs="宋体"/>
                <w:b w:val="0"/>
                <w:bCs w:val="0"/>
                <w:kern w:val="0"/>
              </w:rPr>
              <w:t>分值</w:t>
            </w:r>
          </w:p>
        </w:tc>
        <w:tc>
          <w:tcPr>
            <w:tcW w:w="705" w:type="dxa"/>
            <w:tcBorders>
              <w:top w:val="single" w:color="000000" w:sz="4" w:space="0"/>
              <w:left w:val="single" w:color="000000" w:sz="4" w:space="0"/>
              <w:bottom w:val="single" w:color="000000" w:sz="4" w:space="0"/>
              <w:right w:val="single" w:color="000000" w:sz="4" w:space="0"/>
            </w:tcBorders>
            <w:vAlign w:val="center"/>
          </w:tcPr>
          <w:p w14:paraId="26244CA6">
            <w:pPr>
              <w:widowControl/>
              <w:jc w:val="center"/>
              <w:textAlignment w:val="center"/>
              <w:rPr>
                <w:rFonts w:hint="eastAsia" w:ascii="宋体" w:hAnsi="宋体" w:cs="宋体"/>
                <w:b w:val="0"/>
                <w:bCs w:val="0"/>
                <w:kern w:val="0"/>
              </w:rPr>
            </w:pPr>
          </w:p>
        </w:tc>
      </w:tr>
      <w:tr w14:paraId="6D030DA1">
        <w:tblPrEx>
          <w:tblCellMar>
            <w:top w:w="0" w:type="dxa"/>
            <w:left w:w="0" w:type="dxa"/>
            <w:bottom w:w="0" w:type="dxa"/>
            <w:right w:w="0" w:type="dxa"/>
          </w:tblCellMar>
        </w:tblPrEx>
        <w:trPr>
          <w:trHeight w:val="1604" w:hRule="atLeast"/>
          <w:jc w:val="center"/>
        </w:trPr>
        <w:tc>
          <w:tcPr>
            <w:tcW w:w="770" w:type="dxa"/>
            <w:tcBorders>
              <w:top w:val="single" w:color="000000" w:sz="4" w:space="0"/>
              <w:left w:val="single" w:color="000000" w:sz="4" w:space="0"/>
              <w:bottom w:val="single" w:color="000000" w:sz="4" w:space="0"/>
              <w:right w:val="single" w:color="000000" w:sz="4" w:space="0"/>
            </w:tcBorders>
            <w:vAlign w:val="center"/>
          </w:tcPr>
          <w:p w14:paraId="4144FB05">
            <w:pPr>
              <w:keepNext w:val="0"/>
              <w:keepLines w:val="0"/>
              <w:pageBreakBefore w:val="0"/>
              <w:widowControl/>
              <w:kinsoku/>
              <w:wordWrap/>
              <w:overflowPunct/>
              <w:topLinePunct w:val="0"/>
              <w:autoSpaceDE/>
              <w:autoSpaceDN/>
              <w:bidi w:val="0"/>
              <w:adjustRightInd w:val="0"/>
              <w:snapToGrid w:val="0"/>
              <w:spacing w:line="240" w:lineRule="auto"/>
              <w:jc w:val="center"/>
              <w:textAlignment w:val="center"/>
              <w:rPr>
                <w:rFonts w:hint="eastAsia" w:ascii="宋体" w:hAnsi="宋体" w:cs="宋体"/>
                <w:sz w:val="21"/>
                <w:szCs w:val="21"/>
              </w:rPr>
            </w:pPr>
            <w:r>
              <w:rPr>
                <w:rFonts w:hint="eastAsia" w:ascii="宋体" w:hAnsi="宋体" w:cs="宋体"/>
                <w:kern w:val="0"/>
                <w:sz w:val="21"/>
                <w:szCs w:val="21"/>
              </w:rPr>
              <w:t>1</w:t>
            </w:r>
          </w:p>
        </w:tc>
        <w:tc>
          <w:tcPr>
            <w:tcW w:w="1124" w:type="dxa"/>
            <w:tcBorders>
              <w:top w:val="single" w:color="000000" w:sz="4" w:space="0"/>
              <w:left w:val="single" w:color="000000" w:sz="4" w:space="0"/>
              <w:bottom w:val="single" w:color="000000" w:sz="4" w:space="0"/>
              <w:right w:val="single" w:color="000000" w:sz="4" w:space="0"/>
            </w:tcBorders>
            <w:vAlign w:val="center"/>
          </w:tcPr>
          <w:p w14:paraId="2DF162F4">
            <w:pPr>
              <w:pStyle w:val="107"/>
              <w:keepNext w:val="0"/>
              <w:keepLines w:val="0"/>
              <w:pageBreakBefore w:val="0"/>
              <w:widowControl/>
              <w:numPr>
                <w:ilvl w:val="255"/>
                <w:numId w:val="0"/>
              </w:numPr>
              <w:kinsoku/>
              <w:wordWrap/>
              <w:overflowPunct/>
              <w:topLinePunct w:val="0"/>
              <w:autoSpaceDE/>
              <w:autoSpaceDN/>
              <w:bidi w:val="0"/>
              <w:adjustRightInd w:val="0"/>
              <w:snapToGrid w:val="0"/>
              <w:spacing w:line="240" w:lineRule="auto"/>
              <w:jc w:val="center"/>
              <w:textAlignment w:val="center"/>
              <w:rPr>
                <w:rFonts w:hint="eastAsia" w:ascii="宋体" w:hAnsi="宋体" w:eastAsia="宋体" w:cs="宋体"/>
                <w:kern w:val="0"/>
                <w:sz w:val="21"/>
                <w:szCs w:val="21"/>
              </w:rPr>
            </w:pPr>
            <w:r>
              <w:rPr>
                <w:rFonts w:hint="eastAsia" w:ascii="宋体" w:hAnsi="宋体" w:eastAsia="宋体" w:cs="宋体"/>
                <w:kern w:val="0"/>
                <w:sz w:val="21"/>
                <w:szCs w:val="21"/>
              </w:rPr>
              <w:t>企业规模</w:t>
            </w:r>
          </w:p>
        </w:tc>
        <w:tc>
          <w:tcPr>
            <w:tcW w:w="5835" w:type="dxa"/>
            <w:tcBorders>
              <w:top w:val="single" w:color="000000" w:sz="4" w:space="0"/>
              <w:left w:val="single" w:color="000000" w:sz="4" w:space="0"/>
              <w:bottom w:val="single" w:color="000000" w:sz="4" w:space="0"/>
              <w:right w:val="single" w:color="000000" w:sz="4" w:space="0"/>
            </w:tcBorders>
            <w:vAlign w:val="center"/>
          </w:tcPr>
          <w:p w14:paraId="680BB14B">
            <w:pPr>
              <w:pStyle w:val="107"/>
              <w:keepNext w:val="0"/>
              <w:keepLines w:val="0"/>
              <w:pageBreakBefore w:val="0"/>
              <w:widowControl/>
              <w:numPr>
                <w:ilvl w:val="255"/>
                <w:numId w:val="0"/>
              </w:numPr>
              <w:kinsoku/>
              <w:wordWrap/>
              <w:overflowPunct/>
              <w:topLinePunct w:val="0"/>
              <w:autoSpaceDE/>
              <w:autoSpaceDN/>
              <w:bidi w:val="0"/>
              <w:adjustRightInd w:val="0"/>
              <w:snapToGrid w:val="0"/>
              <w:spacing w:line="240" w:lineRule="auto"/>
              <w:jc w:val="left"/>
              <w:textAlignment w:val="center"/>
              <w:rPr>
                <w:rFonts w:hint="eastAsia" w:ascii="宋体" w:hAnsi="宋体" w:eastAsia="宋体" w:cs="宋体"/>
                <w:kern w:val="0"/>
                <w:sz w:val="21"/>
                <w:szCs w:val="21"/>
                <w:lang w:eastAsia="zh-CN"/>
              </w:rPr>
            </w:pPr>
            <w:r>
              <w:rPr>
                <w:rFonts w:hint="eastAsia" w:ascii="宋体" w:hAnsi="宋体" w:cs="宋体"/>
                <w:kern w:val="0"/>
                <w:sz w:val="21"/>
                <w:szCs w:val="21"/>
                <w:lang w:val="en-US" w:eastAsia="zh-CN"/>
              </w:rPr>
              <w:t>投建方</w:t>
            </w:r>
            <w:r>
              <w:rPr>
                <w:rFonts w:hint="eastAsia" w:ascii="宋体" w:hAnsi="宋体" w:eastAsia="宋体" w:cs="宋体"/>
                <w:kern w:val="0"/>
                <w:sz w:val="21"/>
                <w:szCs w:val="21"/>
              </w:rPr>
              <w:t>或其上一级公司（上一级公司需对其100%控股）注册资金200000（含）万元以上得</w:t>
            </w:r>
            <w:r>
              <w:rPr>
                <w:rFonts w:hint="eastAsia" w:ascii="宋体" w:hAnsi="宋体" w:cs="宋体"/>
                <w:kern w:val="0"/>
                <w:sz w:val="21"/>
                <w:szCs w:val="21"/>
                <w:lang w:val="en-US" w:eastAsia="zh-CN"/>
              </w:rPr>
              <w:t>5</w:t>
            </w:r>
            <w:r>
              <w:rPr>
                <w:rFonts w:hint="eastAsia" w:ascii="宋体" w:hAnsi="宋体" w:eastAsia="宋体" w:cs="宋体"/>
                <w:kern w:val="0"/>
                <w:sz w:val="21"/>
                <w:szCs w:val="21"/>
              </w:rPr>
              <w:t>分；注册资金100000（含）万元—40000（不含）万元得</w:t>
            </w:r>
            <w:r>
              <w:rPr>
                <w:rFonts w:hint="eastAsia" w:ascii="宋体" w:hAnsi="宋体" w:cs="宋体"/>
                <w:kern w:val="0"/>
                <w:sz w:val="21"/>
                <w:szCs w:val="21"/>
                <w:lang w:val="en-US" w:eastAsia="zh-CN"/>
              </w:rPr>
              <w:t>4</w:t>
            </w:r>
            <w:r>
              <w:rPr>
                <w:rFonts w:hint="eastAsia" w:ascii="宋体" w:hAnsi="宋体" w:eastAsia="宋体" w:cs="宋体"/>
                <w:kern w:val="0"/>
                <w:sz w:val="21"/>
                <w:szCs w:val="21"/>
              </w:rPr>
              <w:t>分；注册资金20000（含）万元—30000（不含）万元得</w:t>
            </w:r>
            <w:r>
              <w:rPr>
                <w:rFonts w:hint="eastAsia" w:ascii="宋体" w:hAnsi="宋体" w:cs="宋体"/>
                <w:kern w:val="0"/>
                <w:sz w:val="21"/>
                <w:szCs w:val="21"/>
                <w:lang w:val="en-US" w:eastAsia="zh-CN"/>
              </w:rPr>
              <w:t>3</w:t>
            </w:r>
            <w:r>
              <w:rPr>
                <w:rFonts w:hint="eastAsia" w:ascii="宋体" w:hAnsi="宋体" w:eastAsia="宋体" w:cs="宋体"/>
                <w:kern w:val="0"/>
                <w:sz w:val="21"/>
                <w:szCs w:val="21"/>
              </w:rPr>
              <w:t>分；注册资金10000（含）万元—20000（不含）万元得</w:t>
            </w:r>
            <w:r>
              <w:rPr>
                <w:rFonts w:hint="eastAsia" w:ascii="宋体" w:hAnsi="宋体" w:cs="宋体"/>
                <w:kern w:val="0"/>
                <w:sz w:val="21"/>
                <w:szCs w:val="21"/>
                <w:lang w:val="en-US" w:eastAsia="zh-CN"/>
              </w:rPr>
              <w:t>2</w:t>
            </w:r>
            <w:r>
              <w:rPr>
                <w:rFonts w:hint="eastAsia" w:ascii="宋体" w:hAnsi="宋体" w:eastAsia="宋体" w:cs="宋体"/>
                <w:kern w:val="0"/>
                <w:sz w:val="21"/>
                <w:szCs w:val="21"/>
              </w:rPr>
              <w:t>分；注册资金10000（不含）万元以下得</w:t>
            </w:r>
            <w:r>
              <w:rPr>
                <w:rFonts w:hint="eastAsia" w:ascii="宋体" w:hAnsi="宋体" w:cs="宋体"/>
                <w:kern w:val="0"/>
                <w:sz w:val="21"/>
                <w:szCs w:val="21"/>
                <w:lang w:val="en-US" w:eastAsia="zh-CN"/>
              </w:rPr>
              <w:t>0</w:t>
            </w:r>
            <w:r>
              <w:rPr>
                <w:rFonts w:hint="eastAsia" w:ascii="宋体" w:hAnsi="宋体" w:eastAsia="宋体" w:cs="宋体"/>
                <w:kern w:val="0"/>
                <w:sz w:val="21"/>
                <w:szCs w:val="21"/>
              </w:rPr>
              <w:t>分。</w:t>
            </w:r>
          </w:p>
          <w:p w14:paraId="2B07C417">
            <w:pPr>
              <w:pStyle w:val="107"/>
              <w:keepNext w:val="0"/>
              <w:keepLines w:val="0"/>
              <w:pageBreakBefore w:val="0"/>
              <w:widowControl/>
              <w:numPr>
                <w:ilvl w:val="255"/>
                <w:numId w:val="0"/>
              </w:numPr>
              <w:kinsoku/>
              <w:wordWrap/>
              <w:overflowPunct/>
              <w:topLinePunct w:val="0"/>
              <w:autoSpaceDE/>
              <w:autoSpaceDN/>
              <w:bidi w:val="0"/>
              <w:adjustRightInd w:val="0"/>
              <w:snapToGrid w:val="0"/>
              <w:spacing w:line="240" w:lineRule="auto"/>
              <w:jc w:val="left"/>
              <w:textAlignment w:val="center"/>
              <w:rPr>
                <w:rFonts w:hint="eastAsia" w:ascii="宋体" w:hAnsi="宋体" w:eastAsia="宋体" w:cs="宋体"/>
                <w:kern w:val="0"/>
                <w:sz w:val="21"/>
                <w:szCs w:val="21"/>
                <w:lang w:eastAsia="zh-CN"/>
              </w:rPr>
            </w:pPr>
            <w:r>
              <w:rPr>
                <w:rFonts w:hint="eastAsia" w:ascii="宋体" w:hAnsi="宋体" w:cs="宋体"/>
                <w:kern w:val="0"/>
                <w:sz w:val="21"/>
                <w:szCs w:val="21"/>
                <w:lang w:eastAsia="zh-CN"/>
              </w:rPr>
              <w:t>注：以上注册资金需要提供相应的佐证材料。</w:t>
            </w:r>
            <w:r>
              <w:rPr>
                <w:rFonts w:hint="eastAsia" w:ascii="宋体" w:hAnsi="宋体" w:cs="宋体"/>
                <w:kern w:val="0"/>
                <w:sz w:val="21"/>
                <w:szCs w:val="21"/>
              </w:rPr>
              <w:t>若未提供该项不得分，若提供</w:t>
            </w:r>
            <w:r>
              <w:rPr>
                <w:rFonts w:hint="eastAsia" w:ascii="宋体" w:hAnsi="宋体" w:cs="宋体"/>
                <w:kern w:val="0"/>
                <w:sz w:val="21"/>
                <w:szCs w:val="21"/>
                <w:lang w:eastAsia="zh-CN"/>
              </w:rPr>
              <w:t>注册资金信息</w:t>
            </w:r>
            <w:r>
              <w:rPr>
                <w:rFonts w:hint="eastAsia" w:ascii="宋体" w:hAnsi="宋体" w:cs="宋体"/>
                <w:kern w:val="0"/>
                <w:sz w:val="21"/>
                <w:szCs w:val="21"/>
              </w:rPr>
              <w:t>虚假，</w:t>
            </w:r>
            <w:r>
              <w:rPr>
                <w:rFonts w:hint="eastAsia" w:ascii="宋体" w:hAnsi="宋体" w:cs="宋体"/>
                <w:kern w:val="0"/>
                <w:sz w:val="21"/>
                <w:szCs w:val="21"/>
                <w:lang w:eastAsia="zh-CN"/>
              </w:rPr>
              <w:t>失去参与本次招商资格及成交资格。</w:t>
            </w:r>
          </w:p>
        </w:tc>
        <w:tc>
          <w:tcPr>
            <w:tcW w:w="705" w:type="dxa"/>
            <w:tcBorders>
              <w:top w:val="single" w:color="000000" w:sz="4" w:space="0"/>
              <w:left w:val="single" w:color="000000" w:sz="4" w:space="0"/>
              <w:bottom w:val="single" w:color="000000" w:sz="4" w:space="0"/>
              <w:right w:val="single" w:color="000000" w:sz="4" w:space="0"/>
            </w:tcBorders>
            <w:vAlign w:val="center"/>
          </w:tcPr>
          <w:p w14:paraId="68E7295B">
            <w:pPr>
              <w:keepNext w:val="0"/>
              <w:keepLines w:val="0"/>
              <w:pageBreakBefore w:val="0"/>
              <w:widowControl/>
              <w:kinsoku/>
              <w:wordWrap/>
              <w:overflowPunct/>
              <w:topLinePunct w:val="0"/>
              <w:autoSpaceDE/>
              <w:autoSpaceDN/>
              <w:bidi w:val="0"/>
              <w:adjustRightInd w:val="0"/>
              <w:snapToGrid w:val="0"/>
              <w:spacing w:line="240" w:lineRule="auto"/>
              <w:jc w:val="center"/>
              <w:textAlignment w:val="center"/>
              <w:rPr>
                <w:rFonts w:hint="default" w:ascii="宋体" w:hAnsi="宋体" w:eastAsia="宋体" w:cs="宋体"/>
                <w:sz w:val="21"/>
                <w:szCs w:val="21"/>
                <w:lang w:val="en-US" w:eastAsia="zh-CN"/>
              </w:rPr>
            </w:pPr>
            <w:r>
              <w:rPr>
                <w:rFonts w:hint="eastAsia" w:ascii="宋体" w:hAnsi="宋体" w:cs="宋体"/>
                <w:sz w:val="21"/>
                <w:szCs w:val="21"/>
                <w:lang w:val="en-US" w:eastAsia="zh-CN"/>
              </w:rPr>
              <w:t>5</w:t>
            </w:r>
          </w:p>
        </w:tc>
        <w:tc>
          <w:tcPr>
            <w:tcW w:w="705" w:type="dxa"/>
            <w:tcBorders>
              <w:top w:val="single" w:color="000000" w:sz="4" w:space="0"/>
              <w:left w:val="single" w:color="000000" w:sz="4" w:space="0"/>
              <w:bottom w:val="single" w:color="000000" w:sz="4" w:space="0"/>
              <w:right w:val="single" w:color="000000" w:sz="4" w:space="0"/>
            </w:tcBorders>
            <w:vAlign w:val="center"/>
          </w:tcPr>
          <w:p w14:paraId="34154CD4">
            <w:pPr>
              <w:keepNext w:val="0"/>
              <w:keepLines w:val="0"/>
              <w:pageBreakBefore w:val="0"/>
              <w:widowControl/>
              <w:kinsoku/>
              <w:wordWrap/>
              <w:overflowPunct/>
              <w:topLinePunct w:val="0"/>
              <w:autoSpaceDE/>
              <w:autoSpaceDN/>
              <w:bidi w:val="0"/>
              <w:adjustRightInd w:val="0"/>
              <w:snapToGrid w:val="0"/>
              <w:spacing w:line="240" w:lineRule="auto"/>
              <w:jc w:val="center"/>
              <w:textAlignment w:val="center"/>
              <w:rPr>
                <w:rFonts w:hint="default" w:ascii="宋体" w:hAnsi="宋体" w:eastAsia="宋体" w:cs="宋体"/>
                <w:sz w:val="21"/>
                <w:szCs w:val="21"/>
                <w:lang w:val="en-US" w:eastAsia="zh-CN"/>
              </w:rPr>
            </w:pPr>
            <w:r>
              <w:rPr>
                <w:rFonts w:hint="eastAsia" w:ascii="宋体" w:hAnsi="宋体" w:cs="宋体"/>
                <w:sz w:val="21"/>
                <w:szCs w:val="21"/>
                <w:lang w:val="en-US" w:eastAsia="zh-CN"/>
              </w:rPr>
              <w:t>5</w:t>
            </w:r>
          </w:p>
        </w:tc>
      </w:tr>
      <w:tr w14:paraId="28F3ECBB">
        <w:tblPrEx>
          <w:tblCellMar>
            <w:top w:w="0" w:type="dxa"/>
            <w:left w:w="0" w:type="dxa"/>
            <w:bottom w:w="0" w:type="dxa"/>
            <w:right w:w="0" w:type="dxa"/>
          </w:tblCellMar>
        </w:tblPrEx>
        <w:trPr>
          <w:trHeight w:val="292" w:hRule="atLeast"/>
          <w:jc w:val="center"/>
        </w:trPr>
        <w:tc>
          <w:tcPr>
            <w:tcW w:w="770" w:type="dxa"/>
            <w:tcBorders>
              <w:top w:val="single" w:color="000000" w:sz="4" w:space="0"/>
              <w:left w:val="single" w:color="000000" w:sz="4" w:space="0"/>
              <w:bottom w:val="single" w:color="000000" w:sz="4" w:space="0"/>
              <w:right w:val="single" w:color="000000" w:sz="4" w:space="0"/>
            </w:tcBorders>
            <w:vAlign w:val="center"/>
          </w:tcPr>
          <w:p w14:paraId="50C4A1B9">
            <w:pPr>
              <w:keepNext w:val="0"/>
              <w:keepLines w:val="0"/>
              <w:pageBreakBefore w:val="0"/>
              <w:widowControl/>
              <w:kinsoku/>
              <w:wordWrap/>
              <w:overflowPunct/>
              <w:topLinePunct w:val="0"/>
              <w:autoSpaceDE/>
              <w:autoSpaceDN/>
              <w:bidi w:val="0"/>
              <w:adjustRightInd w:val="0"/>
              <w:snapToGrid w:val="0"/>
              <w:spacing w:line="240" w:lineRule="auto"/>
              <w:jc w:val="center"/>
              <w:textAlignment w:val="center"/>
              <w:rPr>
                <w:rFonts w:hint="eastAsia" w:ascii="宋体" w:hAnsi="宋体" w:cs="宋体"/>
                <w:sz w:val="21"/>
                <w:szCs w:val="21"/>
              </w:rPr>
            </w:pPr>
            <w:r>
              <w:rPr>
                <w:rFonts w:hint="eastAsia" w:ascii="宋体" w:hAnsi="宋体" w:cs="宋体"/>
                <w:kern w:val="0"/>
                <w:sz w:val="21"/>
                <w:szCs w:val="21"/>
              </w:rPr>
              <w:t>2</w:t>
            </w:r>
          </w:p>
        </w:tc>
        <w:tc>
          <w:tcPr>
            <w:tcW w:w="1124" w:type="dxa"/>
            <w:tcBorders>
              <w:top w:val="single" w:color="000000" w:sz="4" w:space="0"/>
              <w:left w:val="single" w:color="000000" w:sz="4" w:space="0"/>
              <w:bottom w:val="single" w:color="000000" w:sz="4" w:space="0"/>
              <w:right w:val="single" w:color="000000" w:sz="4" w:space="0"/>
            </w:tcBorders>
            <w:vAlign w:val="center"/>
          </w:tcPr>
          <w:p w14:paraId="3E4BD9FD">
            <w:pPr>
              <w:keepNext w:val="0"/>
              <w:keepLines w:val="0"/>
              <w:pageBreakBefore w:val="0"/>
              <w:widowControl/>
              <w:kinsoku/>
              <w:wordWrap/>
              <w:overflowPunct/>
              <w:topLinePunct w:val="0"/>
              <w:autoSpaceDE/>
              <w:autoSpaceDN/>
              <w:bidi w:val="0"/>
              <w:adjustRightInd w:val="0"/>
              <w:snapToGrid w:val="0"/>
              <w:spacing w:line="240" w:lineRule="auto"/>
              <w:jc w:val="center"/>
              <w:textAlignment w:val="center"/>
              <w:rPr>
                <w:rFonts w:hint="eastAsia" w:ascii="宋体" w:hAnsi="宋体" w:cs="宋体"/>
                <w:sz w:val="21"/>
                <w:szCs w:val="21"/>
              </w:rPr>
            </w:pPr>
            <w:r>
              <w:rPr>
                <w:rFonts w:hint="eastAsia" w:ascii="宋体" w:hAnsi="宋体" w:cs="宋体"/>
                <w:kern w:val="0"/>
                <w:sz w:val="21"/>
                <w:szCs w:val="21"/>
              </w:rPr>
              <w:t>业绩规模</w:t>
            </w:r>
          </w:p>
        </w:tc>
        <w:tc>
          <w:tcPr>
            <w:tcW w:w="5835" w:type="dxa"/>
            <w:tcBorders>
              <w:top w:val="single" w:color="000000" w:sz="4" w:space="0"/>
              <w:left w:val="single" w:color="000000" w:sz="4" w:space="0"/>
              <w:bottom w:val="single" w:color="000000" w:sz="4" w:space="0"/>
              <w:right w:val="single" w:color="000000" w:sz="4" w:space="0"/>
            </w:tcBorders>
            <w:vAlign w:val="center"/>
          </w:tcPr>
          <w:p w14:paraId="5A0D74D1">
            <w:pPr>
              <w:pStyle w:val="107"/>
              <w:keepNext w:val="0"/>
              <w:keepLines w:val="0"/>
              <w:pageBreakBefore w:val="0"/>
              <w:widowControl/>
              <w:numPr>
                <w:ilvl w:val="255"/>
                <w:numId w:val="0"/>
              </w:numPr>
              <w:kinsoku/>
              <w:wordWrap/>
              <w:overflowPunct/>
              <w:topLinePunct w:val="0"/>
              <w:autoSpaceDE/>
              <w:autoSpaceDN/>
              <w:bidi w:val="0"/>
              <w:adjustRightInd w:val="0"/>
              <w:snapToGrid w:val="0"/>
              <w:spacing w:line="240" w:lineRule="auto"/>
              <w:jc w:val="left"/>
              <w:textAlignment w:val="center"/>
              <w:rPr>
                <w:rFonts w:hint="eastAsia" w:ascii="宋体" w:hAnsi="宋体" w:cs="宋体"/>
                <w:kern w:val="0"/>
                <w:sz w:val="21"/>
                <w:szCs w:val="21"/>
              </w:rPr>
            </w:pPr>
            <w:r>
              <w:rPr>
                <w:rFonts w:hint="eastAsia" w:ascii="宋体" w:hAnsi="宋体" w:cs="宋体"/>
                <w:kern w:val="0"/>
                <w:sz w:val="21"/>
                <w:szCs w:val="21"/>
                <w:highlight w:val="none"/>
                <w:lang w:eastAsia="zh-CN"/>
              </w:rPr>
              <w:t>投建方</w:t>
            </w:r>
            <w:r>
              <w:rPr>
                <w:rFonts w:hint="eastAsia" w:ascii="宋体" w:hAnsi="宋体" w:cs="宋体"/>
                <w:kern w:val="0"/>
                <w:sz w:val="21"/>
                <w:szCs w:val="21"/>
              </w:rPr>
              <w:t>提供至今自持有分布式屋顶光伏运营项目或地面光伏电站运营项目业绩并网总容量200MW（含）且单体电站大于50MW（含）以上得</w:t>
            </w:r>
            <w:r>
              <w:rPr>
                <w:rFonts w:hint="eastAsia" w:ascii="宋体" w:hAnsi="宋体" w:cs="宋体"/>
                <w:kern w:val="0"/>
                <w:sz w:val="21"/>
                <w:szCs w:val="21"/>
                <w:lang w:val="en-US" w:eastAsia="zh-CN"/>
              </w:rPr>
              <w:t>5</w:t>
            </w:r>
            <w:r>
              <w:rPr>
                <w:rFonts w:hint="eastAsia" w:ascii="宋体" w:hAnsi="宋体" w:cs="宋体"/>
                <w:kern w:val="0"/>
                <w:sz w:val="21"/>
                <w:szCs w:val="21"/>
              </w:rPr>
              <w:t>分，并网总容量100MW（含）—200MW且单体电站大于30MW（含）得</w:t>
            </w:r>
            <w:r>
              <w:rPr>
                <w:rFonts w:hint="eastAsia" w:ascii="宋体" w:hAnsi="宋体" w:cs="宋体"/>
                <w:kern w:val="0"/>
                <w:sz w:val="21"/>
                <w:szCs w:val="21"/>
                <w:lang w:val="en-US" w:eastAsia="zh-CN"/>
              </w:rPr>
              <w:t>4</w:t>
            </w:r>
            <w:r>
              <w:rPr>
                <w:rFonts w:hint="eastAsia" w:ascii="宋体" w:hAnsi="宋体" w:cs="宋体"/>
                <w:kern w:val="0"/>
                <w:sz w:val="21"/>
                <w:szCs w:val="21"/>
              </w:rPr>
              <w:t>分，并网总容量50MW（含）—100MW且单体电站大于20MW（含）得</w:t>
            </w:r>
            <w:r>
              <w:rPr>
                <w:rFonts w:hint="eastAsia" w:ascii="宋体" w:hAnsi="宋体" w:cs="宋体"/>
                <w:kern w:val="0"/>
                <w:sz w:val="21"/>
                <w:szCs w:val="21"/>
                <w:lang w:val="en-US" w:eastAsia="zh-CN"/>
              </w:rPr>
              <w:t>3</w:t>
            </w:r>
            <w:r>
              <w:rPr>
                <w:rFonts w:hint="eastAsia" w:ascii="宋体" w:hAnsi="宋体" w:cs="宋体"/>
                <w:kern w:val="0"/>
                <w:sz w:val="21"/>
                <w:szCs w:val="21"/>
              </w:rPr>
              <w:t>分，并网总容量10MW（含）—50MW</w:t>
            </w:r>
            <w:r>
              <w:rPr>
                <w:rFonts w:hint="eastAsia" w:ascii="宋体" w:hAnsi="宋体" w:cs="宋体"/>
                <w:kern w:val="0"/>
                <w:sz w:val="21"/>
                <w:szCs w:val="21"/>
                <w:lang w:eastAsia="zh-CN"/>
              </w:rPr>
              <w:t>且单体电站大于</w:t>
            </w:r>
            <w:r>
              <w:rPr>
                <w:rFonts w:hint="eastAsia" w:ascii="宋体" w:hAnsi="宋体" w:cs="宋体"/>
                <w:kern w:val="0"/>
                <w:sz w:val="21"/>
                <w:szCs w:val="21"/>
                <w:lang w:val="en-US" w:eastAsia="zh-CN"/>
              </w:rPr>
              <w:t>6WM</w:t>
            </w:r>
            <w:r>
              <w:rPr>
                <w:rFonts w:hint="eastAsia" w:ascii="宋体" w:hAnsi="宋体" w:cs="宋体"/>
                <w:kern w:val="0"/>
                <w:sz w:val="21"/>
                <w:szCs w:val="21"/>
              </w:rPr>
              <w:t>得</w:t>
            </w:r>
            <w:r>
              <w:rPr>
                <w:rFonts w:hint="eastAsia" w:ascii="宋体" w:hAnsi="宋体" w:cs="宋体"/>
                <w:kern w:val="0"/>
                <w:sz w:val="21"/>
                <w:szCs w:val="21"/>
                <w:lang w:val="en-US" w:eastAsia="zh-CN"/>
              </w:rPr>
              <w:t>2</w:t>
            </w:r>
            <w:r>
              <w:rPr>
                <w:rFonts w:hint="eastAsia" w:ascii="宋体" w:hAnsi="宋体" w:cs="宋体"/>
                <w:kern w:val="0"/>
                <w:sz w:val="21"/>
                <w:szCs w:val="21"/>
              </w:rPr>
              <w:t>分，并网总容量10MW以下得</w:t>
            </w:r>
            <w:r>
              <w:rPr>
                <w:rFonts w:hint="eastAsia" w:ascii="宋体" w:hAnsi="宋体" w:cs="宋体"/>
                <w:kern w:val="0"/>
                <w:sz w:val="21"/>
                <w:szCs w:val="21"/>
                <w:lang w:val="en-US" w:eastAsia="zh-CN"/>
              </w:rPr>
              <w:t>1</w:t>
            </w:r>
            <w:r>
              <w:rPr>
                <w:rFonts w:hint="eastAsia" w:ascii="宋体" w:hAnsi="宋体" w:cs="宋体"/>
                <w:kern w:val="0"/>
                <w:sz w:val="21"/>
                <w:szCs w:val="21"/>
              </w:rPr>
              <w:t>分，未提供的不得分。本项共计</w:t>
            </w:r>
            <w:r>
              <w:rPr>
                <w:rFonts w:hint="eastAsia" w:ascii="宋体" w:hAnsi="宋体" w:cs="宋体"/>
                <w:kern w:val="0"/>
                <w:sz w:val="21"/>
                <w:szCs w:val="21"/>
                <w:lang w:val="en-US" w:eastAsia="zh-CN"/>
              </w:rPr>
              <w:t>5</w:t>
            </w:r>
            <w:r>
              <w:rPr>
                <w:rFonts w:hint="eastAsia" w:ascii="宋体" w:hAnsi="宋体" w:cs="宋体"/>
                <w:kern w:val="0"/>
                <w:sz w:val="21"/>
                <w:szCs w:val="21"/>
              </w:rPr>
              <w:t>分。</w:t>
            </w:r>
          </w:p>
          <w:p w14:paraId="28ABB1A7">
            <w:pPr>
              <w:pStyle w:val="107"/>
              <w:keepNext w:val="0"/>
              <w:keepLines w:val="0"/>
              <w:pageBreakBefore w:val="0"/>
              <w:widowControl/>
              <w:kinsoku/>
              <w:wordWrap/>
              <w:overflowPunct/>
              <w:topLinePunct w:val="0"/>
              <w:autoSpaceDE/>
              <w:autoSpaceDN/>
              <w:bidi w:val="0"/>
              <w:adjustRightInd w:val="0"/>
              <w:snapToGrid w:val="0"/>
              <w:spacing w:line="240" w:lineRule="auto"/>
              <w:ind w:firstLine="0" w:firstLineChars="0"/>
              <w:jc w:val="left"/>
              <w:textAlignment w:val="center"/>
              <w:rPr>
                <w:rFonts w:hint="eastAsia" w:ascii="宋体" w:hAnsi="宋体" w:cs="宋体"/>
                <w:sz w:val="21"/>
                <w:szCs w:val="21"/>
              </w:rPr>
            </w:pPr>
            <w:r>
              <w:rPr>
                <w:rFonts w:hint="eastAsia" w:ascii="宋体" w:hAnsi="宋体" w:cs="宋体"/>
                <w:kern w:val="0"/>
                <w:sz w:val="21"/>
                <w:szCs w:val="21"/>
              </w:rPr>
              <w:t>注：上述业绩要求为至今自持并网容量，以上需提供合同或国网并网竣工验收证明或电费结算单或</w:t>
            </w:r>
            <w:r>
              <w:rPr>
                <w:rFonts w:hint="eastAsia" w:ascii="宋体" w:hAnsi="宋体" w:cs="宋体"/>
                <w:kern w:val="0"/>
                <w:sz w:val="21"/>
                <w:szCs w:val="21"/>
                <w:u w:val="none"/>
              </w:rPr>
              <w:t>购售电协议</w:t>
            </w:r>
            <w:r>
              <w:rPr>
                <w:rFonts w:hint="eastAsia" w:ascii="宋体" w:hAnsi="宋体" w:cs="宋体"/>
                <w:kern w:val="0"/>
                <w:sz w:val="21"/>
                <w:szCs w:val="21"/>
              </w:rPr>
              <w:t>的相关材料：合同需含有首页、标的页、签字页等关键内容及其他证明材料，若未提供该项不得分，若提供业绩虚假，</w:t>
            </w:r>
            <w:r>
              <w:rPr>
                <w:rFonts w:hint="eastAsia" w:ascii="宋体" w:hAnsi="宋体" w:cs="宋体"/>
                <w:kern w:val="0"/>
                <w:sz w:val="21"/>
                <w:szCs w:val="21"/>
                <w:lang w:eastAsia="zh-CN"/>
              </w:rPr>
              <w:t>失去参与本次招商资格及成交资格</w:t>
            </w:r>
            <w:r>
              <w:rPr>
                <w:rFonts w:hint="eastAsia" w:ascii="宋体" w:hAnsi="宋体" w:cs="宋体"/>
                <w:kern w:val="0"/>
                <w:sz w:val="21"/>
                <w:szCs w:val="21"/>
              </w:rPr>
              <w:t>。</w:t>
            </w:r>
          </w:p>
        </w:tc>
        <w:tc>
          <w:tcPr>
            <w:tcW w:w="705" w:type="dxa"/>
            <w:tcBorders>
              <w:top w:val="single" w:color="000000" w:sz="4" w:space="0"/>
              <w:left w:val="single" w:color="000000" w:sz="4" w:space="0"/>
              <w:bottom w:val="single" w:color="000000" w:sz="4" w:space="0"/>
              <w:right w:val="single" w:color="000000" w:sz="4" w:space="0"/>
            </w:tcBorders>
            <w:vAlign w:val="center"/>
          </w:tcPr>
          <w:p w14:paraId="0AE3D9D3">
            <w:pPr>
              <w:keepNext w:val="0"/>
              <w:keepLines w:val="0"/>
              <w:pageBreakBefore w:val="0"/>
              <w:widowControl/>
              <w:kinsoku/>
              <w:wordWrap/>
              <w:overflowPunct/>
              <w:topLinePunct w:val="0"/>
              <w:autoSpaceDE/>
              <w:autoSpaceDN/>
              <w:bidi w:val="0"/>
              <w:adjustRightInd w:val="0"/>
              <w:snapToGrid w:val="0"/>
              <w:spacing w:line="240" w:lineRule="auto"/>
              <w:jc w:val="center"/>
              <w:textAlignment w:val="center"/>
              <w:rPr>
                <w:rFonts w:hint="default" w:ascii="宋体" w:hAnsi="宋体" w:eastAsia="宋体" w:cs="宋体"/>
                <w:sz w:val="21"/>
                <w:szCs w:val="21"/>
                <w:lang w:val="en-US" w:eastAsia="zh-CN"/>
              </w:rPr>
            </w:pPr>
            <w:r>
              <w:rPr>
                <w:rFonts w:hint="eastAsia" w:ascii="宋体" w:hAnsi="宋体" w:cs="宋体"/>
                <w:sz w:val="21"/>
                <w:szCs w:val="21"/>
                <w:lang w:val="en-US" w:eastAsia="zh-CN"/>
              </w:rPr>
              <w:t>5</w:t>
            </w:r>
          </w:p>
        </w:tc>
        <w:tc>
          <w:tcPr>
            <w:tcW w:w="705" w:type="dxa"/>
            <w:tcBorders>
              <w:top w:val="single" w:color="000000" w:sz="4" w:space="0"/>
              <w:left w:val="single" w:color="000000" w:sz="4" w:space="0"/>
              <w:bottom w:val="single" w:color="000000" w:sz="4" w:space="0"/>
              <w:right w:val="single" w:color="000000" w:sz="4" w:space="0"/>
            </w:tcBorders>
            <w:vAlign w:val="center"/>
          </w:tcPr>
          <w:p w14:paraId="6AD060A4">
            <w:pPr>
              <w:keepNext w:val="0"/>
              <w:keepLines w:val="0"/>
              <w:pageBreakBefore w:val="0"/>
              <w:widowControl/>
              <w:kinsoku/>
              <w:wordWrap/>
              <w:overflowPunct/>
              <w:topLinePunct w:val="0"/>
              <w:autoSpaceDE/>
              <w:autoSpaceDN/>
              <w:bidi w:val="0"/>
              <w:adjustRightInd w:val="0"/>
              <w:snapToGrid w:val="0"/>
              <w:spacing w:line="240" w:lineRule="auto"/>
              <w:jc w:val="center"/>
              <w:textAlignment w:val="center"/>
              <w:rPr>
                <w:rFonts w:hint="default" w:ascii="宋体" w:hAnsi="宋体" w:eastAsia="宋体" w:cs="宋体"/>
                <w:sz w:val="21"/>
                <w:szCs w:val="21"/>
                <w:lang w:val="en-US" w:eastAsia="zh-CN"/>
              </w:rPr>
            </w:pPr>
            <w:r>
              <w:rPr>
                <w:rFonts w:hint="eastAsia" w:ascii="宋体" w:hAnsi="宋体" w:cs="宋体"/>
                <w:sz w:val="21"/>
                <w:szCs w:val="21"/>
                <w:lang w:val="en-US" w:eastAsia="zh-CN"/>
              </w:rPr>
              <w:t>5</w:t>
            </w:r>
          </w:p>
        </w:tc>
      </w:tr>
      <w:tr w14:paraId="42F8347D">
        <w:tblPrEx>
          <w:tblCellMar>
            <w:top w:w="0" w:type="dxa"/>
            <w:left w:w="0" w:type="dxa"/>
            <w:bottom w:w="0" w:type="dxa"/>
            <w:right w:w="0" w:type="dxa"/>
          </w:tblCellMar>
        </w:tblPrEx>
        <w:trPr>
          <w:trHeight w:val="605" w:hRule="atLeast"/>
          <w:jc w:val="center"/>
        </w:trPr>
        <w:tc>
          <w:tcPr>
            <w:tcW w:w="770" w:type="dxa"/>
            <w:tcBorders>
              <w:top w:val="single" w:color="000000" w:sz="4" w:space="0"/>
              <w:left w:val="single" w:color="000000" w:sz="4" w:space="0"/>
              <w:bottom w:val="single" w:color="000000" w:sz="4" w:space="0"/>
              <w:right w:val="single" w:color="000000" w:sz="4" w:space="0"/>
            </w:tcBorders>
            <w:vAlign w:val="center"/>
          </w:tcPr>
          <w:p w14:paraId="5E2C48EA">
            <w:pPr>
              <w:keepNext w:val="0"/>
              <w:keepLines w:val="0"/>
              <w:pageBreakBefore w:val="0"/>
              <w:widowControl/>
              <w:kinsoku/>
              <w:wordWrap/>
              <w:overflowPunct/>
              <w:topLinePunct w:val="0"/>
              <w:autoSpaceDE/>
              <w:autoSpaceDN/>
              <w:bidi w:val="0"/>
              <w:adjustRightInd w:val="0"/>
              <w:snapToGrid w:val="0"/>
              <w:spacing w:line="240" w:lineRule="auto"/>
              <w:jc w:val="center"/>
              <w:textAlignment w:val="center"/>
              <w:rPr>
                <w:rFonts w:hint="eastAsia" w:ascii="宋体" w:hAnsi="宋体" w:eastAsia="宋体" w:cs="宋体"/>
                <w:kern w:val="0"/>
                <w:sz w:val="21"/>
                <w:szCs w:val="21"/>
                <w:lang w:eastAsia="zh-CN"/>
              </w:rPr>
            </w:pPr>
            <w:r>
              <w:rPr>
                <w:rFonts w:hint="eastAsia" w:ascii="宋体" w:hAnsi="宋体" w:cs="宋体"/>
                <w:kern w:val="0"/>
                <w:sz w:val="21"/>
                <w:szCs w:val="21"/>
                <w:lang w:val="en-US" w:eastAsia="zh-CN"/>
              </w:rPr>
              <w:t>3</w:t>
            </w:r>
          </w:p>
        </w:tc>
        <w:tc>
          <w:tcPr>
            <w:tcW w:w="1124" w:type="dxa"/>
            <w:tcBorders>
              <w:top w:val="single" w:color="000000" w:sz="4" w:space="0"/>
              <w:left w:val="single" w:color="000000" w:sz="4" w:space="0"/>
              <w:bottom w:val="single" w:color="000000" w:sz="4" w:space="0"/>
              <w:right w:val="single" w:color="000000" w:sz="4" w:space="0"/>
            </w:tcBorders>
            <w:vAlign w:val="center"/>
          </w:tcPr>
          <w:p w14:paraId="595DD89E">
            <w:pPr>
              <w:keepNext w:val="0"/>
              <w:keepLines w:val="0"/>
              <w:pageBreakBefore w:val="0"/>
              <w:widowControl/>
              <w:kinsoku/>
              <w:wordWrap/>
              <w:overflowPunct/>
              <w:topLinePunct w:val="0"/>
              <w:autoSpaceDE/>
              <w:autoSpaceDN/>
              <w:bidi w:val="0"/>
              <w:adjustRightInd w:val="0"/>
              <w:snapToGrid w:val="0"/>
              <w:spacing w:line="240" w:lineRule="auto"/>
              <w:jc w:val="center"/>
              <w:textAlignment w:val="center"/>
              <w:rPr>
                <w:rFonts w:hint="eastAsia" w:ascii="宋体" w:hAnsi="宋体" w:cs="宋体"/>
                <w:sz w:val="21"/>
                <w:szCs w:val="21"/>
              </w:rPr>
            </w:pPr>
            <w:r>
              <w:rPr>
                <w:rFonts w:hint="eastAsia" w:ascii="宋体" w:hAnsi="宋体" w:cs="宋体"/>
                <w:sz w:val="21"/>
                <w:szCs w:val="21"/>
              </w:rPr>
              <w:t>设计方案</w:t>
            </w:r>
          </w:p>
        </w:tc>
        <w:tc>
          <w:tcPr>
            <w:tcW w:w="5835" w:type="dxa"/>
            <w:tcBorders>
              <w:top w:val="single" w:color="000000" w:sz="4" w:space="0"/>
              <w:left w:val="single" w:color="000000" w:sz="4" w:space="0"/>
              <w:bottom w:val="single" w:color="000000" w:sz="4" w:space="0"/>
              <w:right w:val="single" w:color="000000" w:sz="4" w:space="0"/>
            </w:tcBorders>
            <w:vAlign w:val="center"/>
          </w:tcPr>
          <w:p w14:paraId="1315BE22">
            <w:pPr>
              <w:keepNext w:val="0"/>
              <w:keepLines w:val="0"/>
              <w:pageBreakBefore w:val="0"/>
              <w:widowControl/>
              <w:kinsoku/>
              <w:wordWrap/>
              <w:overflowPunct/>
              <w:topLinePunct w:val="0"/>
              <w:autoSpaceDE/>
              <w:autoSpaceDN/>
              <w:bidi w:val="0"/>
              <w:adjustRightInd w:val="0"/>
              <w:snapToGrid w:val="0"/>
              <w:spacing w:line="240" w:lineRule="auto"/>
              <w:jc w:val="left"/>
              <w:textAlignment w:val="center"/>
              <w:rPr>
                <w:rFonts w:hint="eastAsia" w:ascii="宋体" w:hAnsi="宋体" w:cs="宋体"/>
                <w:sz w:val="21"/>
                <w:szCs w:val="21"/>
              </w:rPr>
            </w:pPr>
            <w:r>
              <w:rPr>
                <w:rFonts w:hint="eastAsia" w:ascii="宋体" w:hAnsi="宋体" w:cs="宋体"/>
                <w:sz w:val="21"/>
                <w:szCs w:val="21"/>
              </w:rPr>
              <w:t>针对本项目的实际情况和特点，提供</w:t>
            </w:r>
            <w:r>
              <w:rPr>
                <w:rFonts w:hint="eastAsia" w:ascii="宋体" w:hAnsi="宋体" w:cs="宋体"/>
                <w:sz w:val="21"/>
                <w:szCs w:val="21"/>
                <w:lang w:eastAsia="zh-CN"/>
              </w:rPr>
              <w:t>设计</w:t>
            </w:r>
            <w:r>
              <w:rPr>
                <w:rFonts w:hint="eastAsia" w:ascii="宋体" w:hAnsi="宋体" w:cs="宋体"/>
                <w:sz w:val="21"/>
                <w:szCs w:val="21"/>
              </w:rPr>
              <w:t>方案。（包括但不限于整体设计方案、装机容量、布置实施方案、安全文明施工方案、故障响应及应急处理方案、服务方案、管理方案）等横向比较，综合评分。</w:t>
            </w:r>
          </w:p>
          <w:p w14:paraId="48A623CA">
            <w:pPr>
              <w:keepNext w:val="0"/>
              <w:keepLines w:val="0"/>
              <w:pageBreakBefore w:val="0"/>
              <w:widowControl/>
              <w:kinsoku/>
              <w:wordWrap/>
              <w:overflowPunct/>
              <w:topLinePunct w:val="0"/>
              <w:autoSpaceDE/>
              <w:autoSpaceDN/>
              <w:bidi w:val="0"/>
              <w:adjustRightInd w:val="0"/>
              <w:snapToGrid w:val="0"/>
              <w:spacing w:line="240" w:lineRule="auto"/>
              <w:jc w:val="left"/>
              <w:textAlignment w:val="center"/>
              <w:rPr>
                <w:rFonts w:hint="eastAsia" w:ascii="宋体" w:hAnsi="宋体" w:cs="宋体"/>
                <w:sz w:val="21"/>
                <w:szCs w:val="21"/>
              </w:rPr>
            </w:pPr>
            <w:r>
              <w:rPr>
                <w:rFonts w:hint="eastAsia" w:ascii="宋体" w:hAnsi="宋体" w:cs="宋体"/>
                <w:sz w:val="21"/>
                <w:szCs w:val="21"/>
                <w:highlight w:val="none"/>
              </w:rPr>
              <w:t>优秀</w:t>
            </w:r>
            <w:r>
              <w:rPr>
                <w:rFonts w:hint="eastAsia" w:ascii="宋体" w:hAnsi="宋体" w:cs="宋体"/>
                <w:sz w:val="21"/>
                <w:szCs w:val="21"/>
                <w:highlight w:val="none"/>
                <w:lang w:val="en-US" w:eastAsia="zh-CN"/>
              </w:rPr>
              <w:t>5</w:t>
            </w:r>
            <w:r>
              <w:rPr>
                <w:rFonts w:hint="eastAsia" w:ascii="宋体" w:hAnsi="宋体" w:cs="宋体"/>
                <w:sz w:val="21"/>
                <w:szCs w:val="21"/>
                <w:highlight w:val="none"/>
              </w:rPr>
              <w:t>分，良好</w:t>
            </w:r>
            <w:r>
              <w:rPr>
                <w:rFonts w:hint="eastAsia" w:ascii="宋体" w:hAnsi="宋体" w:cs="宋体"/>
                <w:sz w:val="21"/>
                <w:szCs w:val="21"/>
                <w:highlight w:val="none"/>
                <w:lang w:val="en-US" w:eastAsia="zh-CN"/>
              </w:rPr>
              <w:t>3</w:t>
            </w:r>
            <w:r>
              <w:rPr>
                <w:rFonts w:hint="eastAsia" w:ascii="宋体" w:hAnsi="宋体" w:cs="宋体"/>
                <w:sz w:val="21"/>
                <w:szCs w:val="21"/>
                <w:highlight w:val="none"/>
              </w:rPr>
              <w:t>分，</w:t>
            </w:r>
            <w:r>
              <w:rPr>
                <w:rFonts w:hint="eastAsia" w:ascii="宋体" w:hAnsi="宋体" w:cs="宋体"/>
                <w:sz w:val="21"/>
                <w:szCs w:val="21"/>
                <w:highlight w:val="none"/>
                <w:lang w:val="en-US" w:eastAsia="zh-CN"/>
              </w:rPr>
              <w:t>合格1</w:t>
            </w:r>
            <w:r>
              <w:rPr>
                <w:rFonts w:hint="eastAsia" w:ascii="宋体" w:hAnsi="宋体" w:cs="宋体"/>
                <w:sz w:val="21"/>
                <w:szCs w:val="21"/>
                <w:highlight w:val="none"/>
              </w:rPr>
              <w:t>分，不提供0分。</w:t>
            </w:r>
          </w:p>
        </w:tc>
        <w:tc>
          <w:tcPr>
            <w:tcW w:w="705" w:type="dxa"/>
            <w:tcBorders>
              <w:top w:val="single" w:color="000000" w:sz="4" w:space="0"/>
              <w:left w:val="single" w:color="000000" w:sz="4" w:space="0"/>
              <w:bottom w:val="single" w:color="000000" w:sz="4" w:space="0"/>
              <w:right w:val="single" w:color="000000" w:sz="4" w:space="0"/>
            </w:tcBorders>
            <w:vAlign w:val="center"/>
          </w:tcPr>
          <w:p w14:paraId="35BF9715">
            <w:pPr>
              <w:keepNext w:val="0"/>
              <w:keepLines w:val="0"/>
              <w:pageBreakBefore w:val="0"/>
              <w:widowControl/>
              <w:kinsoku/>
              <w:wordWrap/>
              <w:overflowPunct/>
              <w:topLinePunct w:val="0"/>
              <w:autoSpaceDE/>
              <w:autoSpaceDN/>
              <w:bidi w:val="0"/>
              <w:adjustRightInd w:val="0"/>
              <w:snapToGrid w:val="0"/>
              <w:spacing w:line="240" w:lineRule="auto"/>
              <w:jc w:val="center"/>
              <w:textAlignment w:val="center"/>
              <w:rPr>
                <w:rFonts w:hint="eastAsia" w:ascii="宋体" w:hAnsi="宋体" w:eastAsia="宋体" w:cs="宋体"/>
                <w:kern w:val="0"/>
                <w:sz w:val="21"/>
                <w:szCs w:val="21"/>
                <w:lang w:val="en-US" w:eastAsia="zh-CN"/>
              </w:rPr>
            </w:pPr>
            <w:r>
              <w:rPr>
                <w:rFonts w:hint="eastAsia" w:ascii="宋体" w:hAnsi="宋体" w:cs="宋体"/>
                <w:kern w:val="0"/>
                <w:sz w:val="21"/>
                <w:szCs w:val="21"/>
                <w:lang w:val="en-US" w:eastAsia="zh-CN"/>
              </w:rPr>
              <w:t>5</w:t>
            </w:r>
          </w:p>
        </w:tc>
        <w:tc>
          <w:tcPr>
            <w:tcW w:w="705" w:type="dxa"/>
            <w:tcBorders>
              <w:top w:val="single" w:color="000000" w:sz="4" w:space="0"/>
              <w:left w:val="single" w:color="000000" w:sz="4" w:space="0"/>
              <w:bottom w:val="single" w:color="000000" w:sz="4" w:space="0"/>
              <w:right w:val="single" w:color="000000" w:sz="4" w:space="0"/>
            </w:tcBorders>
            <w:vAlign w:val="center"/>
          </w:tcPr>
          <w:p w14:paraId="731D8A93">
            <w:pPr>
              <w:keepNext w:val="0"/>
              <w:keepLines w:val="0"/>
              <w:pageBreakBefore w:val="0"/>
              <w:widowControl/>
              <w:kinsoku/>
              <w:wordWrap/>
              <w:overflowPunct/>
              <w:topLinePunct w:val="0"/>
              <w:autoSpaceDE/>
              <w:autoSpaceDN/>
              <w:bidi w:val="0"/>
              <w:adjustRightInd w:val="0"/>
              <w:snapToGrid w:val="0"/>
              <w:spacing w:line="240" w:lineRule="auto"/>
              <w:jc w:val="center"/>
              <w:textAlignment w:val="center"/>
              <w:rPr>
                <w:rFonts w:hint="eastAsia" w:ascii="宋体" w:hAnsi="宋体" w:eastAsia="宋体" w:cs="宋体"/>
                <w:kern w:val="0"/>
                <w:sz w:val="21"/>
                <w:szCs w:val="21"/>
                <w:lang w:val="en-US" w:eastAsia="zh-CN"/>
              </w:rPr>
            </w:pPr>
            <w:r>
              <w:rPr>
                <w:rFonts w:hint="eastAsia" w:ascii="宋体" w:hAnsi="宋体" w:cs="宋体"/>
                <w:kern w:val="0"/>
                <w:sz w:val="21"/>
                <w:szCs w:val="21"/>
                <w:lang w:val="en-US" w:eastAsia="zh-CN"/>
              </w:rPr>
              <w:t>5</w:t>
            </w:r>
          </w:p>
        </w:tc>
      </w:tr>
      <w:tr w14:paraId="08F074A3">
        <w:tblPrEx>
          <w:tblCellMar>
            <w:top w:w="0" w:type="dxa"/>
            <w:left w:w="0" w:type="dxa"/>
            <w:bottom w:w="0" w:type="dxa"/>
            <w:right w:w="0" w:type="dxa"/>
          </w:tblCellMar>
        </w:tblPrEx>
        <w:trPr>
          <w:trHeight w:val="225" w:hRule="atLeast"/>
          <w:jc w:val="center"/>
        </w:trPr>
        <w:tc>
          <w:tcPr>
            <w:tcW w:w="7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5B00DC">
            <w:pPr>
              <w:keepNext w:val="0"/>
              <w:keepLines w:val="0"/>
              <w:pageBreakBefore w:val="0"/>
              <w:widowControl/>
              <w:kinsoku/>
              <w:wordWrap/>
              <w:overflowPunct/>
              <w:topLinePunct w:val="0"/>
              <w:autoSpaceDE/>
              <w:autoSpaceDN/>
              <w:bidi w:val="0"/>
              <w:adjustRightInd w:val="0"/>
              <w:snapToGrid w:val="0"/>
              <w:spacing w:line="240" w:lineRule="auto"/>
              <w:jc w:val="center"/>
              <w:textAlignment w:val="center"/>
              <w:rPr>
                <w:rFonts w:hint="eastAsia" w:ascii="宋体" w:hAnsi="宋体" w:eastAsia="宋体" w:cs="宋体"/>
                <w:kern w:val="0"/>
                <w:sz w:val="21"/>
                <w:szCs w:val="21"/>
                <w:lang w:val="en-US" w:eastAsia="zh-CN" w:bidi="ar-SA"/>
              </w:rPr>
            </w:pPr>
            <w:r>
              <w:rPr>
                <w:rFonts w:hint="eastAsia" w:ascii="宋体" w:hAnsi="宋体" w:cs="宋体"/>
                <w:kern w:val="0"/>
                <w:sz w:val="21"/>
                <w:szCs w:val="21"/>
                <w:lang w:val="en-US" w:eastAsia="zh-CN"/>
              </w:rPr>
              <w:t>4</w:t>
            </w:r>
          </w:p>
        </w:tc>
        <w:tc>
          <w:tcPr>
            <w:tcW w:w="11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20EE4B">
            <w:pPr>
              <w:keepNext w:val="0"/>
              <w:keepLines w:val="0"/>
              <w:pageBreakBefore w:val="0"/>
              <w:widowControl/>
              <w:kinsoku/>
              <w:wordWrap/>
              <w:overflowPunct/>
              <w:topLinePunct w:val="0"/>
              <w:autoSpaceDE/>
              <w:autoSpaceDN/>
              <w:bidi w:val="0"/>
              <w:adjustRightInd w:val="0"/>
              <w:snapToGrid w:val="0"/>
              <w:spacing w:line="240" w:lineRule="auto"/>
              <w:jc w:val="center"/>
              <w:textAlignment w:val="center"/>
              <w:rPr>
                <w:rFonts w:hint="eastAsia" w:ascii="宋体" w:hAnsi="宋体" w:eastAsia="宋体" w:cs="宋体"/>
                <w:color w:val="auto"/>
                <w:kern w:val="0"/>
                <w:sz w:val="21"/>
                <w:szCs w:val="21"/>
                <w:lang w:val="en-US" w:eastAsia="zh-CN" w:bidi="ar-SA"/>
              </w:rPr>
            </w:pPr>
            <w:r>
              <w:rPr>
                <w:rFonts w:hint="eastAsia" w:ascii="宋体" w:hAnsi="宋体" w:cs="宋体"/>
                <w:color w:val="auto"/>
                <w:kern w:val="0"/>
                <w:sz w:val="21"/>
                <w:szCs w:val="21"/>
                <w:lang w:eastAsia="zh-CN"/>
              </w:rPr>
              <w:t>建设方案</w:t>
            </w:r>
          </w:p>
        </w:tc>
        <w:tc>
          <w:tcPr>
            <w:tcW w:w="58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3CDE30">
            <w:pPr>
              <w:pStyle w:val="107"/>
              <w:keepNext w:val="0"/>
              <w:keepLines w:val="0"/>
              <w:pageBreakBefore w:val="0"/>
              <w:widowControl/>
              <w:kinsoku/>
              <w:wordWrap/>
              <w:overflowPunct/>
              <w:topLinePunct w:val="0"/>
              <w:autoSpaceDE/>
              <w:autoSpaceDN/>
              <w:bidi w:val="0"/>
              <w:adjustRightInd w:val="0"/>
              <w:snapToGrid w:val="0"/>
              <w:spacing w:line="240" w:lineRule="auto"/>
              <w:ind w:firstLine="0" w:firstLineChars="0"/>
              <w:jc w:val="left"/>
              <w:textAlignment w:val="center"/>
              <w:rPr>
                <w:rFonts w:hint="default" w:ascii="宋体" w:hAnsi="宋体" w:eastAsia="宋体" w:cs="宋体"/>
                <w:color w:val="auto"/>
                <w:kern w:val="0"/>
                <w:sz w:val="21"/>
                <w:szCs w:val="21"/>
                <w:lang w:eastAsia="zh-CN"/>
              </w:rPr>
            </w:pPr>
            <w:r>
              <w:rPr>
                <w:rFonts w:hint="default" w:ascii="宋体" w:hAnsi="宋体" w:eastAsia="宋体" w:cs="宋体"/>
                <w:color w:val="auto"/>
                <w:kern w:val="0"/>
                <w:sz w:val="21"/>
                <w:szCs w:val="21"/>
                <w:lang w:eastAsia="zh-CN"/>
              </w:rPr>
              <w:t>针对本项目的实际情况和特点，提供建设方案。（包括但不限于整体建设方案、</w:t>
            </w:r>
            <w:r>
              <w:rPr>
                <w:rFonts w:hint="eastAsia" w:ascii="宋体" w:hAnsi="宋体" w:cs="宋体"/>
                <w:color w:val="auto"/>
                <w:kern w:val="0"/>
                <w:sz w:val="21"/>
                <w:szCs w:val="21"/>
                <w:lang w:eastAsia="zh-CN"/>
              </w:rPr>
              <w:t>光伏安装排列、</w:t>
            </w:r>
            <w:r>
              <w:rPr>
                <w:rFonts w:hint="default" w:ascii="宋体" w:hAnsi="宋体" w:eastAsia="宋体" w:cs="宋体"/>
                <w:color w:val="auto"/>
                <w:kern w:val="0"/>
                <w:sz w:val="21"/>
                <w:szCs w:val="21"/>
                <w:lang w:eastAsia="zh-CN"/>
              </w:rPr>
              <w:t>投入</w:t>
            </w:r>
            <w:r>
              <w:rPr>
                <w:rFonts w:hint="eastAsia" w:ascii="宋体" w:hAnsi="宋体" w:cs="宋体"/>
                <w:color w:val="auto"/>
                <w:kern w:val="0"/>
                <w:sz w:val="21"/>
                <w:szCs w:val="21"/>
                <w:lang w:eastAsia="zh-CN"/>
              </w:rPr>
              <w:t>设施设备的</w:t>
            </w:r>
            <w:r>
              <w:rPr>
                <w:rFonts w:hint="default" w:ascii="宋体" w:hAnsi="宋体" w:eastAsia="宋体" w:cs="宋体"/>
                <w:color w:val="auto"/>
                <w:kern w:val="0"/>
                <w:sz w:val="21"/>
                <w:szCs w:val="21"/>
                <w:lang w:eastAsia="zh-CN"/>
              </w:rPr>
              <w:t>品牌、型号、参数设备清单表</w:t>
            </w:r>
            <w:r>
              <w:rPr>
                <w:rFonts w:hint="default" w:ascii="宋体" w:hAnsi="宋体" w:eastAsia="宋体" w:cs="宋体"/>
                <w:color w:val="auto"/>
                <w:kern w:val="0"/>
                <w:sz w:val="21"/>
                <w:szCs w:val="21"/>
                <w:highlight w:val="none"/>
                <w:lang w:eastAsia="zh-CN"/>
              </w:rPr>
              <w:t>）</w:t>
            </w:r>
            <w:r>
              <w:rPr>
                <w:rFonts w:hint="default" w:ascii="宋体" w:hAnsi="宋体" w:eastAsia="宋体" w:cs="宋体"/>
                <w:color w:val="auto"/>
                <w:kern w:val="0"/>
                <w:sz w:val="21"/>
                <w:szCs w:val="21"/>
                <w:lang w:eastAsia="zh-CN"/>
              </w:rPr>
              <w:t>等横向比较，综合评分。</w:t>
            </w:r>
          </w:p>
          <w:p w14:paraId="54B085A4">
            <w:pPr>
              <w:pStyle w:val="107"/>
              <w:keepNext w:val="0"/>
              <w:keepLines w:val="0"/>
              <w:pageBreakBefore w:val="0"/>
              <w:widowControl/>
              <w:kinsoku/>
              <w:wordWrap/>
              <w:overflowPunct/>
              <w:topLinePunct w:val="0"/>
              <w:autoSpaceDE/>
              <w:autoSpaceDN/>
              <w:bidi w:val="0"/>
              <w:adjustRightInd w:val="0"/>
              <w:snapToGrid w:val="0"/>
              <w:spacing w:line="240" w:lineRule="auto"/>
              <w:ind w:firstLine="0" w:firstLineChars="0"/>
              <w:jc w:val="left"/>
              <w:textAlignment w:val="center"/>
              <w:rPr>
                <w:rFonts w:hint="eastAsia" w:ascii="宋体" w:hAnsi="宋体" w:eastAsia="宋体" w:cs="宋体"/>
                <w:color w:val="auto"/>
                <w:kern w:val="0"/>
                <w:sz w:val="21"/>
                <w:szCs w:val="21"/>
                <w:lang w:val="en-US" w:eastAsia="zh-CN" w:bidi="ar-SA"/>
              </w:rPr>
            </w:pPr>
            <w:r>
              <w:rPr>
                <w:rFonts w:hint="default" w:ascii="宋体" w:hAnsi="宋体" w:eastAsia="宋体" w:cs="宋体"/>
                <w:color w:val="auto"/>
                <w:kern w:val="0"/>
                <w:sz w:val="21"/>
                <w:szCs w:val="21"/>
                <w:highlight w:val="none"/>
                <w:lang w:eastAsia="zh-CN"/>
              </w:rPr>
              <w:t>优秀</w:t>
            </w:r>
            <w:r>
              <w:rPr>
                <w:rFonts w:hint="eastAsia" w:ascii="宋体" w:hAnsi="宋体" w:cs="宋体"/>
                <w:color w:val="auto"/>
                <w:kern w:val="0"/>
                <w:sz w:val="21"/>
                <w:szCs w:val="21"/>
                <w:highlight w:val="none"/>
                <w:lang w:val="en-US" w:eastAsia="zh-CN"/>
              </w:rPr>
              <w:t>5</w:t>
            </w:r>
            <w:r>
              <w:rPr>
                <w:rFonts w:hint="default" w:ascii="宋体" w:hAnsi="宋体" w:eastAsia="宋体" w:cs="宋体"/>
                <w:color w:val="auto"/>
                <w:kern w:val="0"/>
                <w:sz w:val="21"/>
                <w:szCs w:val="21"/>
                <w:highlight w:val="none"/>
                <w:lang w:eastAsia="zh-CN"/>
              </w:rPr>
              <w:t>分，良好</w:t>
            </w:r>
            <w:r>
              <w:rPr>
                <w:rFonts w:hint="eastAsia" w:ascii="宋体" w:hAnsi="宋体" w:cs="宋体"/>
                <w:color w:val="auto"/>
                <w:kern w:val="0"/>
                <w:sz w:val="21"/>
                <w:szCs w:val="21"/>
                <w:highlight w:val="none"/>
                <w:lang w:val="en-US" w:eastAsia="zh-CN"/>
              </w:rPr>
              <w:t>3</w:t>
            </w:r>
            <w:r>
              <w:rPr>
                <w:rFonts w:hint="default" w:ascii="宋体" w:hAnsi="宋体" w:eastAsia="宋体" w:cs="宋体"/>
                <w:color w:val="auto"/>
                <w:kern w:val="0"/>
                <w:sz w:val="21"/>
                <w:szCs w:val="21"/>
                <w:highlight w:val="none"/>
                <w:lang w:eastAsia="zh-CN"/>
              </w:rPr>
              <w:t>分，</w:t>
            </w:r>
            <w:r>
              <w:rPr>
                <w:rFonts w:hint="eastAsia" w:ascii="宋体" w:hAnsi="宋体" w:cs="宋体"/>
                <w:color w:val="auto"/>
                <w:kern w:val="0"/>
                <w:sz w:val="21"/>
                <w:szCs w:val="21"/>
                <w:highlight w:val="none"/>
                <w:lang w:val="en-US" w:eastAsia="zh-CN"/>
              </w:rPr>
              <w:t>合格1</w:t>
            </w:r>
            <w:r>
              <w:rPr>
                <w:rFonts w:hint="default" w:ascii="宋体" w:hAnsi="宋体" w:eastAsia="宋体" w:cs="宋体"/>
                <w:color w:val="auto"/>
                <w:kern w:val="0"/>
                <w:sz w:val="21"/>
                <w:szCs w:val="21"/>
                <w:highlight w:val="none"/>
                <w:lang w:eastAsia="zh-CN"/>
              </w:rPr>
              <w:t>分，不提供0分。</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188EBC">
            <w:pPr>
              <w:keepNext w:val="0"/>
              <w:keepLines w:val="0"/>
              <w:pageBreakBefore w:val="0"/>
              <w:widowControl/>
              <w:kinsoku/>
              <w:wordWrap/>
              <w:overflowPunct/>
              <w:topLinePunct w:val="0"/>
              <w:autoSpaceDE/>
              <w:autoSpaceDN/>
              <w:bidi w:val="0"/>
              <w:adjustRightInd w:val="0"/>
              <w:snapToGrid w:val="0"/>
              <w:spacing w:line="240" w:lineRule="auto"/>
              <w:jc w:val="center"/>
              <w:textAlignment w:val="center"/>
              <w:rPr>
                <w:rFonts w:hint="eastAsia" w:ascii="宋体" w:hAnsi="宋体" w:eastAsia="宋体" w:cs="宋体"/>
                <w:kern w:val="2"/>
                <w:sz w:val="21"/>
                <w:szCs w:val="21"/>
                <w:lang w:val="en-US" w:eastAsia="zh-CN" w:bidi="ar-SA"/>
              </w:rPr>
            </w:pPr>
            <w:r>
              <w:rPr>
                <w:rFonts w:hint="eastAsia" w:ascii="宋体" w:hAnsi="宋体" w:cs="宋体"/>
                <w:sz w:val="21"/>
                <w:szCs w:val="21"/>
                <w:lang w:val="en-US" w:eastAsia="zh-CN"/>
              </w:rPr>
              <w:t>5</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282090">
            <w:pPr>
              <w:keepNext w:val="0"/>
              <w:keepLines w:val="0"/>
              <w:pageBreakBefore w:val="0"/>
              <w:widowControl/>
              <w:kinsoku/>
              <w:wordWrap/>
              <w:overflowPunct/>
              <w:topLinePunct w:val="0"/>
              <w:autoSpaceDE/>
              <w:autoSpaceDN/>
              <w:bidi w:val="0"/>
              <w:adjustRightInd w:val="0"/>
              <w:snapToGrid w:val="0"/>
              <w:spacing w:line="240" w:lineRule="auto"/>
              <w:jc w:val="center"/>
              <w:textAlignment w:val="center"/>
              <w:rPr>
                <w:rFonts w:hint="eastAsia" w:ascii="宋体" w:hAnsi="宋体" w:eastAsia="宋体" w:cs="宋体"/>
                <w:kern w:val="2"/>
                <w:sz w:val="21"/>
                <w:szCs w:val="21"/>
                <w:lang w:val="en-US" w:eastAsia="zh-CN" w:bidi="ar-SA"/>
              </w:rPr>
            </w:pPr>
            <w:r>
              <w:rPr>
                <w:rFonts w:hint="eastAsia" w:ascii="宋体" w:hAnsi="宋体" w:cs="宋体"/>
                <w:sz w:val="21"/>
                <w:szCs w:val="21"/>
                <w:lang w:val="en-US" w:eastAsia="zh-CN"/>
              </w:rPr>
              <w:t>5</w:t>
            </w:r>
          </w:p>
        </w:tc>
      </w:tr>
      <w:tr w14:paraId="6B3D8C87">
        <w:tblPrEx>
          <w:tblCellMar>
            <w:top w:w="0" w:type="dxa"/>
            <w:left w:w="0" w:type="dxa"/>
            <w:bottom w:w="0" w:type="dxa"/>
            <w:right w:w="0" w:type="dxa"/>
          </w:tblCellMar>
        </w:tblPrEx>
        <w:trPr>
          <w:trHeight w:val="225" w:hRule="atLeast"/>
          <w:jc w:val="center"/>
        </w:trPr>
        <w:tc>
          <w:tcPr>
            <w:tcW w:w="770" w:type="dxa"/>
            <w:tcBorders>
              <w:top w:val="single" w:color="000000" w:sz="4" w:space="0"/>
              <w:left w:val="single" w:color="000000" w:sz="4" w:space="0"/>
              <w:bottom w:val="single" w:color="000000" w:sz="4" w:space="0"/>
              <w:right w:val="single" w:color="000000" w:sz="4" w:space="0"/>
            </w:tcBorders>
            <w:vAlign w:val="center"/>
          </w:tcPr>
          <w:p w14:paraId="4EEBDC2A">
            <w:pPr>
              <w:keepNext w:val="0"/>
              <w:keepLines w:val="0"/>
              <w:pageBreakBefore w:val="0"/>
              <w:widowControl/>
              <w:kinsoku/>
              <w:wordWrap/>
              <w:overflowPunct/>
              <w:topLinePunct w:val="0"/>
              <w:autoSpaceDE/>
              <w:autoSpaceDN/>
              <w:bidi w:val="0"/>
              <w:adjustRightInd w:val="0"/>
              <w:snapToGrid w:val="0"/>
              <w:spacing w:line="240" w:lineRule="auto"/>
              <w:jc w:val="center"/>
              <w:textAlignment w:val="center"/>
              <w:rPr>
                <w:rFonts w:hint="eastAsia" w:ascii="宋体" w:hAnsi="宋体" w:eastAsia="宋体" w:cs="宋体"/>
                <w:kern w:val="0"/>
                <w:sz w:val="21"/>
                <w:szCs w:val="21"/>
                <w:lang w:eastAsia="zh-CN"/>
              </w:rPr>
            </w:pPr>
            <w:r>
              <w:rPr>
                <w:rFonts w:hint="eastAsia" w:ascii="宋体" w:hAnsi="宋体" w:cs="宋体"/>
                <w:kern w:val="0"/>
                <w:sz w:val="21"/>
                <w:szCs w:val="21"/>
                <w:lang w:val="en-US" w:eastAsia="zh-CN"/>
              </w:rPr>
              <w:t>5</w:t>
            </w:r>
          </w:p>
        </w:tc>
        <w:tc>
          <w:tcPr>
            <w:tcW w:w="1124" w:type="dxa"/>
            <w:tcBorders>
              <w:top w:val="single" w:color="000000" w:sz="4" w:space="0"/>
              <w:left w:val="single" w:color="000000" w:sz="4" w:space="0"/>
              <w:bottom w:val="single" w:color="000000" w:sz="4" w:space="0"/>
              <w:right w:val="single" w:color="000000" w:sz="4" w:space="0"/>
            </w:tcBorders>
            <w:vAlign w:val="center"/>
          </w:tcPr>
          <w:p w14:paraId="18EF505A">
            <w:pPr>
              <w:keepNext w:val="0"/>
              <w:keepLines w:val="0"/>
              <w:pageBreakBefore w:val="0"/>
              <w:widowControl/>
              <w:kinsoku/>
              <w:wordWrap/>
              <w:overflowPunct/>
              <w:topLinePunct w:val="0"/>
              <w:autoSpaceDE/>
              <w:autoSpaceDN/>
              <w:bidi w:val="0"/>
              <w:adjustRightInd w:val="0"/>
              <w:snapToGrid w:val="0"/>
              <w:spacing w:line="240" w:lineRule="auto"/>
              <w:jc w:val="center"/>
              <w:textAlignment w:val="center"/>
              <w:rPr>
                <w:rFonts w:hint="eastAsia" w:ascii="宋体" w:hAnsi="宋体" w:cs="宋体"/>
                <w:sz w:val="21"/>
                <w:szCs w:val="21"/>
              </w:rPr>
            </w:pPr>
            <w:r>
              <w:rPr>
                <w:rFonts w:hint="eastAsia" w:ascii="宋体" w:hAnsi="宋体" w:cs="宋体"/>
                <w:sz w:val="21"/>
                <w:szCs w:val="21"/>
              </w:rPr>
              <w:t>项目运维</w:t>
            </w:r>
          </w:p>
        </w:tc>
        <w:tc>
          <w:tcPr>
            <w:tcW w:w="5835" w:type="dxa"/>
            <w:tcBorders>
              <w:top w:val="single" w:color="000000" w:sz="4" w:space="0"/>
              <w:left w:val="single" w:color="000000" w:sz="4" w:space="0"/>
              <w:bottom w:val="single" w:color="000000" w:sz="4" w:space="0"/>
              <w:right w:val="single" w:color="000000" w:sz="4" w:space="0"/>
            </w:tcBorders>
            <w:vAlign w:val="center"/>
          </w:tcPr>
          <w:p w14:paraId="45C69895">
            <w:pPr>
              <w:pStyle w:val="107"/>
              <w:keepNext w:val="0"/>
              <w:keepLines w:val="0"/>
              <w:pageBreakBefore w:val="0"/>
              <w:widowControl/>
              <w:kinsoku/>
              <w:wordWrap/>
              <w:overflowPunct/>
              <w:topLinePunct w:val="0"/>
              <w:autoSpaceDE/>
              <w:autoSpaceDN/>
              <w:bidi w:val="0"/>
              <w:adjustRightInd w:val="0"/>
              <w:snapToGrid w:val="0"/>
              <w:spacing w:line="240" w:lineRule="auto"/>
              <w:ind w:left="0" w:leftChars="0" w:firstLine="0" w:firstLineChars="0"/>
              <w:jc w:val="left"/>
              <w:textAlignment w:val="center"/>
              <w:rPr>
                <w:rFonts w:hint="eastAsia" w:ascii="宋体" w:hAnsi="宋体" w:cs="宋体"/>
                <w:sz w:val="21"/>
                <w:szCs w:val="21"/>
              </w:rPr>
            </w:pPr>
            <w:r>
              <w:rPr>
                <w:rFonts w:hint="eastAsia" w:ascii="宋体" w:hAnsi="宋体" w:cs="宋体"/>
                <w:sz w:val="21"/>
                <w:szCs w:val="21"/>
              </w:rPr>
              <w:t>根据</w:t>
            </w:r>
            <w:r>
              <w:rPr>
                <w:rFonts w:hint="eastAsia" w:ascii="宋体" w:hAnsi="宋体" w:cs="宋体"/>
                <w:sz w:val="21"/>
                <w:szCs w:val="21"/>
                <w:lang w:eastAsia="zh-CN"/>
              </w:rPr>
              <w:t>投建方</w:t>
            </w:r>
            <w:r>
              <w:rPr>
                <w:rFonts w:hint="eastAsia" w:ascii="宋体" w:hAnsi="宋体" w:cs="宋体"/>
                <w:sz w:val="21"/>
                <w:szCs w:val="21"/>
              </w:rPr>
              <w:t>提供的项目运维方案进行评审</w:t>
            </w:r>
            <w:r>
              <w:rPr>
                <w:rFonts w:hint="eastAsia" w:ascii="宋体" w:hAnsi="宋体" w:cs="宋体"/>
                <w:sz w:val="21"/>
                <w:szCs w:val="21"/>
                <w:lang w:eastAsia="zh-CN"/>
              </w:rPr>
              <w:t>。</w:t>
            </w:r>
          </w:p>
          <w:p w14:paraId="07AFFCE4">
            <w:pPr>
              <w:pStyle w:val="107"/>
              <w:keepNext w:val="0"/>
              <w:keepLines w:val="0"/>
              <w:pageBreakBefore w:val="0"/>
              <w:widowControl/>
              <w:kinsoku/>
              <w:wordWrap/>
              <w:overflowPunct/>
              <w:topLinePunct w:val="0"/>
              <w:autoSpaceDE/>
              <w:autoSpaceDN/>
              <w:bidi w:val="0"/>
              <w:adjustRightInd w:val="0"/>
              <w:snapToGrid w:val="0"/>
              <w:spacing w:line="240" w:lineRule="auto"/>
              <w:ind w:firstLine="0" w:firstLineChars="0"/>
              <w:jc w:val="left"/>
              <w:textAlignment w:val="center"/>
              <w:rPr>
                <w:rFonts w:hint="eastAsia" w:ascii="宋体" w:hAnsi="宋体" w:cs="宋体"/>
                <w:sz w:val="21"/>
                <w:szCs w:val="21"/>
              </w:rPr>
            </w:pPr>
            <w:r>
              <w:rPr>
                <w:rFonts w:hint="eastAsia" w:ascii="宋体" w:hAnsi="宋体" w:cs="宋体"/>
                <w:sz w:val="21"/>
                <w:szCs w:val="21"/>
              </w:rPr>
              <w:t>1</w:t>
            </w:r>
            <w:r>
              <w:rPr>
                <w:rFonts w:hint="eastAsia" w:ascii="宋体" w:hAnsi="宋体" w:cs="宋体"/>
                <w:sz w:val="21"/>
                <w:szCs w:val="21"/>
                <w:lang w:val="en-US" w:eastAsia="zh-CN"/>
              </w:rPr>
              <w:t>.</w:t>
            </w:r>
            <w:r>
              <w:rPr>
                <w:rFonts w:hint="eastAsia" w:ascii="宋体" w:hAnsi="宋体" w:cs="宋体"/>
                <w:sz w:val="21"/>
                <w:szCs w:val="21"/>
              </w:rPr>
              <w:t>提供运维组织构架文件得</w:t>
            </w:r>
            <w:r>
              <w:rPr>
                <w:rFonts w:hint="eastAsia" w:ascii="宋体" w:hAnsi="宋体" w:cs="宋体"/>
                <w:sz w:val="21"/>
                <w:szCs w:val="21"/>
                <w:lang w:val="en-US" w:eastAsia="zh-CN"/>
              </w:rPr>
              <w:t>0.5</w:t>
            </w:r>
            <w:r>
              <w:rPr>
                <w:rFonts w:hint="eastAsia" w:ascii="宋体" w:hAnsi="宋体" w:cs="宋体"/>
                <w:sz w:val="21"/>
                <w:szCs w:val="21"/>
              </w:rPr>
              <w:t>分；</w:t>
            </w:r>
          </w:p>
          <w:p w14:paraId="050EDF76">
            <w:pPr>
              <w:pStyle w:val="107"/>
              <w:keepNext w:val="0"/>
              <w:keepLines w:val="0"/>
              <w:pageBreakBefore w:val="0"/>
              <w:widowControl/>
              <w:kinsoku/>
              <w:wordWrap/>
              <w:overflowPunct/>
              <w:topLinePunct w:val="0"/>
              <w:autoSpaceDE/>
              <w:autoSpaceDN/>
              <w:bidi w:val="0"/>
              <w:adjustRightInd w:val="0"/>
              <w:snapToGrid w:val="0"/>
              <w:spacing w:line="240" w:lineRule="auto"/>
              <w:ind w:firstLine="0" w:firstLineChars="0"/>
              <w:jc w:val="left"/>
              <w:textAlignment w:val="center"/>
              <w:rPr>
                <w:rFonts w:hint="eastAsia" w:ascii="宋体" w:hAnsi="宋体" w:cs="宋体"/>
                <w:sz w:val="21"/>
                <w:szCs w:val="21"/>
              </w:rPr>
            </w:pPr>
            <w:r>
              <w:rPr>
                <w:rFonts w:hint="eastAsia" w:ascii="宋体" w:hAnsi="宋体" w:cs="宋体"/>
                <w:sz w:val="21"/>
                <w:szCs w:val="21"/>
              </w:rPr>
              <w:t>2</w:t>
            </w:r>
            <w:r>
              <w:rPr>
                <w:rFonts w:hint="eastAsia" w:ascii="宋体" w:hAnsi="宋体" w:cs="宋体"/>
                <w:sz w:val="21"/>
                <w:szCs w:val="21"/>
                <w:lang w:val="en-US" w:eastAsia="zh-CN"/>
              </w:rPr>
              <w:t>.</w:t>
            </w:r>
            <w:r>
              <w:rPr>
                <w:rFonts w:hint="eastAsia" w:ascii="宋体" w:hAnsi="宋体" w:cs="宋体"/>
                <w:sz w:val="21"/>
                <w:szCs w:val="21"/>
              </w:rPr>
              <w:t>组织运维人员岗前培训，提供岗前培训的具体内容和要求得</w:t>
            </w:r>
            <w:r>
              <w:rPr>
                <w:rFonts w:hint="eastAsia" w:ascii="宋体" w:hAnsi="宋体" w:cs="宋体"/>
                <w:sz w:val="21"/>
                <w:szCs w:val="21"/>
                <w:lang w:val="en-US" w:eastAsia="zh-CN"/>
              </w:rPr>
              <w:t>1</w:t>
            </w:r>
            <w:r>
              <w:rPr>
                <w:rFonts w:hint="eastAsia" w:ascii="宋体" w:hAnsi="宋体" w:cs="宋体"/>
                <w:sz w:val="21"/>
                <w:szCs w:val="21"/>
              </w:rPr>
              <w:t>分；</w:t>
            </w:r>
          </w:p>
          <w:p w14:paraId="71A0B1F6">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left"/>
              <w:textAlignment w:val="center"/>
              <w:rPr>
                <w:rFonts w:hint="eastAsia" w:ascii="宋体" w:hAnsi="宋体" w:cs="宋体"/>
                <w:sz w:val="21"/>
                <w:szCs w:val="21"/>
              </w:rPr>
            </w:pPr>
            <w:r>
              <w:rPr>
                <w:rFonts w:hint="eastAsia" w:ascii="宋体" w:hAnsi="宋体" w:cs="宋体"/>
                <w:sz w:val="21"/>
                <w:szCs w:val="21"/>
              </w:rPr>
              <w:t>3</w:t>
            </w:r>
            <w:r>
              <w:rPr>
                <w:rFonts w:hint="eastAsia" w:ascii="宋体" w:hAnsi="宋体" w:cs="宋体"/>
                <w:sz w:val="21"/>
                <w:szCs w:val="21"/>
                <w:lang w:val="en-US" w:eastAsia="zh-CN"/>
              </w:rPr>
              <w:t>.</w:t>
            </w:r>
            <w:r>
              <w:rPr>
                <w:rFonts w:hint="eastAsia" w:ascii="宋体" w:hAnsi="宋体" w:cs="宋体"/>
                <w:sz w:val="21"/>
                <w:szCs w:val="21"/>
              </w:rPr>
              <w:t>提供运维规程或管理标准，包含光伏电站主要设备日常运行维护方案、故障问题处理方案、运维相关管理制度和安全体系要求</w:t>
            </w:r>
            <w:r>
              <w:rPr>
                <w:rFonts w:hint="eastAsia" w:ascii="宋体" w:hAnsi="宋体" w:cs="宋体"/>
                <w:sz w:val="21"/>
                <w:szCs w:val="21"/>
                <w:lang w:eastAsia="zh-CN"/>
              </w:rPr>
              <w:t>等</w:t>
            </w:r>
            <w:r>
              <w:rPr>
                <w:rFonts w:hint="eastAsia" w:ascii="宋体" w:hAnsi="宋体" w:cs="宋体"/>
                <w:sz w:val="21"/>
                <w:szCs w:val="21"/>
              </w:rPr>
              <w:t>，每有1项得</w:t>
            </w:r>
            <w:r>
              <w:rPr>
                <w:rFonts w:hint="eastAsia" w:ascii="宋体" w:hAnsi="宋体" w:cs="宋体"/>
                <w:sz w:val="21"/>
                <w:szCs w:val="21"/>
                <w:lang w:val="en-US" w:eastAsia="zh-CN"/>
              </w:rPr>
              <w:t>0.5</w:t>
            </w:r>
            <w:r>
              <w:rPr>
                <w:rFonts w:hint="eastAsia" w:ascii="宋体" w:hAnsi="宋体" w:cs="宋体"/>
                <w:sz w:val="21"/>
                <w:szCs w:val="21"/>
              </w:rPr>
              <w:t>分，最多得</w:t>
            </w:r>
            <w:r>
              <w:rPr>
                <w:rFonts w:hint="eastAsia" w:ascii="宋体" w:hAnsi="宋体" w:cs="宋体"/>
                <w:sz w:val="21"/>
                <w:szCs w:val="21"/>
                <w:lang w:val="en-US" w:eastAsia="zh-CN"/>
              </w:rPr>
              <w:t>3</w:t>
            </w:r>
            <w:r>
              <w:rPr>
                <w:rFonts w:hint="eastAsia" w:ascii="宋体" w:hAnsi="宋体" w:cs="宋体"/>
                <w:sz w:val="21"/>
                <w:szCs w:val="21"/>
              </w:rPr>
              <w:t>分。</w:t>
            </w:r>
          </w:p>
          <w:p w14:paraId="5C74D3E6">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left"/>
              <w:textAlignment w:val="center"/>
              <w:rPr>
                <w:rFonts w:hint="eastAsia" w:ascii="宋体" w:hAnsi="宋体" w:cs="宋体"/>
                <w:sz w:val="21"/>
                <w:szCs w:val="21"/>
              </w:rPr>
            </w:pPr>
            <w:r>
              <w:rPr>
                <w:rFonts w:hint="eastAsia" w:ascii="宋体" w:hAnsi="宋体" w:cs="宋体"/>
                <w:sz w:val="21"/>
                <w:szCs w:val="21"/>
                <w:lang w:val="en-US" w:eastAsia="zh-CN"/>
              </w:rPr>
              <w:t>4.</w:t>
            </w:r>
            <w:r>
              <w:rPr>
                <w:rFonts w:hint="eastAsia" w:ascii="宋体" w:hAnsi="宋体" w:cs="宋体"/>
                <w:sz w:val="21"/>
                <w:szCs w:val="21"/>
              </w:rPr>
              <w:t>在铜仁地区</w:t>
            </w:r>
            <w:r>
              <w:rPr>
                <w:rFonts w:hint="eastAsia" w:ascii="宋体" w:hAnsi="宋体" w:cs="宋体"/>
                <w:sz w:val="21"/>
                <w:szCs w:val="21"/>
                <w:lang w:eastAsia="zh-CN"/>
              </w:rPr>
              <w:t>建设或</w:t>
            </w:r>
            <w:r>
              <w:rPr>
                <w:rFonts w:hint="eastAsia" w:ascii="宋体" w:hAnsi="宋体" w:cs="宋体"/>
                <w:sz w:val="21"/>
                <w:szCs w:val="21"/>
              </w:rPr>
              <w:t>拥有区域运维中心，</w:t>
            </w:r>
            <w:r>
              <w:rPr>
                <w:rFonts w:hint="eastAsia" w:ascii="宋体" w:hAnsi="宋体" w:cs="宋体"/>
                <w:sz w:val="21"/>
                <w:szCs w:val="21"/>
                <w:lang w:eastAsia="zh-CN"/>
              </w:rPr>
              <w:t>且</w:t>
            </w:r>
            <w:r>
              <w:rPr>
                <w:rFonts w:hint="eastAsia" w:ascii="宋体" w:hAnsi="宋体" w:cs="宋体"/>
                <w:sz w:val="21"/>
                <w:szCs w:val="21"/>
              </w:rPr>
              <w:t>拥有</w:t>
            </w:r>
            <w:r>
              <w:rPr>
                <w:rFonts w:hint="eastAsia" w:ascii="宋体" w:hAnsi="宋体" w:cs="宋体"/>
                <w:sz w:val="21"/>
                <w:szCs w:val="21"/>
                <w:lang w:eastAsia="zh-CN"/>
              </w:rPr>
              <w:t>在运营</w:t>
            </w:r>
            <w:r>
              <w:rPr>
                <w:rFonts w:hint="eastAsia" w:ascii="宋体" w:hAnsi="宋体" w:cs="宋体"/>
                <w:sz w:val="21"/>
                <w:szCs w:val="21"/>
              </w:rPr>
              <w:t>项目的，加</w:t>
            </w:r>
            <w:r>
              <w:rPr>
                <w:rFonts w:hint="eastAsia" w:ascii="宋体" w:hAnsi="宋体" w:cs="宋体"/>
                <w:sz w:val="21"/>
                <w:szCs w:val="21"/>
                <w:lang w:val="en-US" w:eastAsia="zh-CN"/>
              </w:rPr>
              <w:t>0.5</w:t>
            </w:r>
            <w:r>
              <w:rPr>
                <w:rFonts w:hint="eastAsia" w:ascii="宋体" w:hAnsi="宋体" w:cs="宋体"/>
                <w:sz w:val="21"/>
                <w:szCs w:val="21"/>
              </w:rPr>
              <w:t>分</w:t>
            </w:r>
            <w:r>
              <w:rPr>
                <w:rFonts w:hint="eastAsia" w:ascii="宋体" w:hAnsi="宋体" w:cs="宋体"/>
                <w:sz w:val="21"/>
                <w:szCs w:val="21"/>
                <w:lang w:eastAsia="zh-CN"/>
              </w:rPr>
              <w:t>。</w:t>
            </w:r>
          </w:p>
          <w:p w14:paraId="79A178C7">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left"/>
              <w:textAlignment w:val="center"/>
              <w:rPr>
                <w:rFonts w:hint="eastAsia" w:ascii="宋体" w:hAnsi="宋体" w:cs="宋体"/>
                <w:sz w:val="21"/>
                <w:szCs w:val="21"/>
              </w:rPr>
            </w:pPr>
            <w:r>
              <w:rPr>
                <w:rFonts w:hint="eastAsia" w:ascii="宋体" w:hAnsi="宋体" w:cs="宋体"/>
                <w:sz w:val="21"/>
                <w:szCs w:val="21"/>
                <w:lang w:eastAsia="zh-CN"/>
              </w:rPr>
              <w:t>（</w:t>
            </w:r>
            <w:r>
              <w:rPr>
                <w:rFonts w:hint="eastAsia" w:ascii="宋体" w:hAnsi="宋体" w:cs="宋体"/>
                <w:sz w:val="21"/>
                <w:szCs w:val="21"/>
              </w:rPr>
              <w:t>需提供公司组织架构、铜仁在运项目业绩资料等证明文件</w:t>
            </w:r>
            <w:r>
              <w:rPr>
                <w:rFonts w:hint="eastAsia" w:ascii="宋体" w:hAnsi="宋体" w:cs="宋体"/>
                <w:sz w:val="21"/>
                <w:szCs w:val="21"/>
                <w:lang w:eastAsia="zh-CN"/>
              </w:rPr>
              <w:t>）</w:t>
            </w:r>
            <w:r>
              <w:rPr>
                <w:rFonts w:hint="eastAsia" w:ascii="宋体" w:hAnsi="宋体" w:cs="宋体"/>
                <w:sz w:val="21"/>
                <w:szCs w:val="21"/>
              </w:rPr>
              <w:t>。</w:t>
            </w:r>
          </w:p>
        </w:tc>
        <w:tc>
          <w:tcPr>
            <w:tcW w:w="705" w:type="dxa"/>
            <w:tcBorders>
              <w:top w:val="single" w:color="000000" w:sz="4" w:space="0"/>
              <w:left w:val="single" w:color="000000" w:sz="4" w:space="0"/>
              <w:bottom w:val="single" w:color="000000" w:sz="4" w:space="0"/>
              <w:right w:val="single" w:color="000000" w:sz="4" w:space="0"/>
            </w:tcBorders>
            <w:vAlign w:val="center"/>
          </w:tcPr>
          <w:p w14:paraId="586B7B60">
            <w:pPr>
              <w:keepNext w:val="0"/>
              <w:keepLines w:val="0"/>
              <w:pageBreakBefore w:val="0"/>
              <w:widowControl/>
              <w:kinsoku/>
              <w:wordWrap/>
              <w:overflowPunct/>
              <w:topLinePunct w:val="0"/>
              <w:autoSpaceDE/>
              <w:autoSpaceDN/>
              <w:bidi w:val="0"/>
              <w:adjustRightInd w:val="0"/>
              <w:snapToGrid w:val="0"/>
              <w:spacing w:line="240" w:lineRule="auto"/>
              <w:jc w:val="center"/>
              <w:textAlignment w:val="center"/>
              <w:rPr>
                <w:rFonts w:hint="eastAsia" w:ascii="宋体" w:hAnsi="宋体" w:eastAsia="宋体" w:cs="宋体"/>
                <w:kern w:val="0"/>
                <w:sz w:val="21"/>
                <w:szCs w:val="21"/>
                <w:lang w:val="en-US" w:eastAsia="zh-CN"/>
              </w:rPr>
            </w:pPr>
            <w:r>
              <w:rPr>
                <w:rFonts w:hint="eastAsia" w:ascii="宋体" w:hAnsi="宋体" w:cs="宋体"/>
                <w:kern w:val="0"/>
                <w:sz w:val="21"/>
                <w:szCs w:val="21"/>
                <w:lang w:val="en-US" w:eastAsia="zh-CN"/>
              </w:rPr>
              <w:t>5</w:t>
            </w:r>
          </w:p>
        </w:tc>
        <w:tc>
          <w:tcPr>
            <w:tcW w:w="705" w:type="dxa"/>
            <w:tcBorders>
              <w:top w:val="single" w:color="000000" w:sz="4" w:space="0"/>
              <w:left w:val="single" w:color="000000" w:sz="4" w:space="0"/>
              <w:bottom w:val="single" w:color="000000" w:sz="4" w:space="0"/>
              <w:right w:val="single" w:color="000000" w:sz="4" w:space="0"/>
            </w:tcBorders>
            <w:vAlign w:val="center"/>
          </w:tcPr>
          <w:p w14:paraId="1AF715BA">
            <w:pPr>
              <w:keepNext w:val="0"/>
              <w:keepLines w:val="0"/>
              <w:pageBreakBefore w:val="0"/>
              <w:widowControl/>
              <w:kinsoku/>
              <w:wordWrap/>
              <w:overflowPunct/>
              <w:topLinePunct w:val="0"/>
              <w:autoSpaceDE/>
              <w:autoSpaceDN/>
              <w:bidi w:val="0"/>
              <w:adjustRightInd w:val="0"/>
              <w:snapToGrid w:val="0"/>
              <w:spacing w:line="240" w:lineRule="auto"/>
              <w:jc w:val="center"/>
              <w:textAlignment w:val="center"/>
              <w:rPr>
                <w:rFonts w:hint="eastAsia" w:ascii="宋体" w:hAnsi="宋体" w:eastAsia="宋体" w:cs="宋体"/>
                <w:kern w:val="0"/>
                <w:sz w:val="21"/>
                <w:szCs w:val="21"/>
                <w:lang w:val="en-US" w:eastAsia="zh-CN"/>
              </w:rPr>
            </w:pPr>
            <w:r>
              <w:rPr>
                <w:rFonts w:hint="eastAsia" w:ascii="宋体" w:hAnsi="宋体" w:cs="宋体"/>
                <w:kern w:val="0"/>
                <w:sz w:val="21"/>
                <w:szCs w:val="21"/>
                <w:lang w:val="en-US" w:eastAsia="zh-CN"/>
              </w:rPr>
              <w:t>5</w:t>
            </w:r>
          </w:p>
        </w:tc>
      </w:tr>
      <w:tr w14:paraId="6C37194B">
        <w:tblPrEx>
          <w:tblCellMar>
            <w:top w:w="0" w:type="dxa"/>
            <w:left w:w="0" w:type="dxa"/>
            <w:bottom w:w="0" w:type="dxa"/>
            <w:right w:w="0" w:type="dxa"/>
          </w:tblCellMar>
        </w:tblPrEx>
        <w:trPr>
          <w:trHeight w:val="430" w:hRule="atLeast"/>
          <w:jc w:val="center"/>
        </w:trPr>
        <w:tc>
          <w:tcPr>
            <w:tcW w:w="770" w:type="dxa"/>
            <w:tcBorders>
              <w:top w:val="single" w:color="000000" w:sz="4" w:space="0"/>
              <w:left w:val="single" w:color="000000" w:sz="4" w:space="0"/>
              <w:bottom w:val="single" w:color="000000" w:sz="4" w:space="0"/>
              <w:right w:val="single" w:color="000000" w:sz="4" w:space="0"/>
            </w:tcBorders>
            <w:vAlign w:val="center"/>
          </w:tcPr>
          <w:p w14:paraId="03C81255">
            <w:pPr>
              <w:keepNext w:val="0"/>
              <w:keepLines w:val="0"/>
              <w:pageBreakBefore w:val="0"/>
              <w:widowControl/>
              <w:kinsoku/>
              <w:wordWrap/>
              <w:overflowPunct/>
              <w:topLinePunct w:val="0"/>
              <w:autoSpaceDE/>
              <w:autoSpaceDN/>
              <w:bidi w:val="0"/>
              <w:adjustRightInd w:val="0"/>
              <w:snapToGrid w:val="0"/>
              <w:spacing w:line="240" w:lineRule="auto"/>
              <w:jc w:val="center"/>
              <w:textAlignment w:val="center"/>
              <w:rPr>
                <w:rFonts w:hint="default" w:ascii="宋体" w:hAnsi="宋体" w:cs="宋体"/>
                <w:kern w:val="0"/>
                <w:sz w:val="21"/>
                <w:szCs w:val="21"/>
                <w:lang w:val="en-US" w:eastAsia="zh-CN"/>
              </w:rPr>
            </w:pPr>
            <w:bookmarkStart w:id="222" w:name="_Toc3760"/>
            <w:r>
              <w:rPr>
                <w:rFonts w:hint="eastAsia" w:ascii="宋体" w:hAnsi="宋体" w:cs="宋体"/>
                <w:kern w:val="0"/>
                <w:sz w:val="21"/>
                <w:szCs w:val="21"/>
                <w:lang w:val="en-US" w:eastAsia="zh-CN"/>
              </w:rPr>
              <w:t>6</w:t>
            </w:r>
          </w:p>
        </w:tc>
        <w:tc>
          <w:tcPr>
            <w:tcW w:w="1124" w:type="dxa"/>
            <w:tcBorders>
              <w:top w:val="single" w:color="000000" w:sz="4" w:space="0"/>
              <w:left w:val="single" w:color="000000" w:sz="4" w:space="0"/>
              <w:bottom w:val="single" w:color="000000" w:sz="4" w:space="0"/>
              <w:right w:val="single" w:color="000000" w:sz="4" w:space="0"/>
            </w:tcBorders>
            <w:vAlign w:val="center"/>
          </w:tcPr>
          <w:p w14:paraId="4B1F81D1">
            <w:pPr>
              <w:keepNext w:val="0"/>
              <w:keepLines w:val="0"/>
              <w:pageBreakBefore w:val="0"/>
              <w:widowControl/>
              <w:kinsoku/>
              <w:wordWrap/>
              <w:overflowPunct/>
              <w:topLinePunct w:val="0"/>
              <w:autoSpaceDE/>
              <w:autoSpaceDN/>
              <w:bidi w:val="0"/>
              <w:adjustRightInd w:val="0"/>
              <w:snapToGrid w:val="0"/>
              <w:spacing w:line="240" w:lineRule="auto"/>
              <w:jc w:val="center"/>
              <w:textAlignment w:val="center"/>
              <w:rPr>
                <w:rFonts w:hint="eastAsia" w:ascii="宋体" w:hAnsi="宋体" w:cs="宋体"/>
                <w:sz w:val="21"/>
                <w:szCs w:val="21"/>
                <w:lang w:eastAsia="zh-CN"/>
              </w:rPr>
            </w:pPr>
            <w:r>
              <w:rPr>
                <w:rFonts w:hint="eastAsia" w:ascii="宋体" w:hAnsi="宋体" w:cs="宋体"/>
                <w:sz w:val="21"/>
                <w:szCs w:val="21"/>
                <w:lang w:eastAsia="zh-CN"/>
              </w:rPr>
              <w:t>项目建设并网工期</w:t>
            </w:r>
          </w:p>
        </w:tc>
        <w:tc>
          <w:tcPr>
            <w:tcW w:w="5835" w:type="dxa"/>
            <w:tcBorders>
              <w:top w:val="single" w:color="000000" w:sz="4" w:space="0"/>
              <w:left w:val="single" w:color="000000" w:sz="4" w:space="0"/>
              <w:bottom w:val="single" w:color="000000" w:sz="4" w:space="0"/>
              <w:right w:val="single" w:color="000000" w:sz="4" w:space="0"/>
            </w:tcBorders>
            <w:vAlign w:val="center"/>
          </w:tcPr>
          <w:p w14:paraId="690E52D8">
            <w:pPr>
              <w:pStyle w:val="107"/>
              <w:keepNext w:val="0"/>
              <w:keepLines w:val="0"/>
              <w:pageBreakBefore w:val="0"/>
              <w:widowControl/>
              <w:kinsoku/>
              <w:wordWrap/>
              <w:overflowPunct/>
              <w:topLinePunct w:val="0"/>
              <w:autoSpaceDE/>
              <w:autoSpaceDN/>
              <w:bidi w:val="0"/>
              <w:adjustRightInd w:val="0"/>
              <w:snapToGrid w:val="0"/>
              <w:spacing w:line="240" w:lineRule="auto"/>
              <w:ind w:firstLine="0" w:firstLineChars="0"/>
              <w:jc w:val="left"/>
              <w:textAlignment w:val="center"/>
              <w:rPr>
                <w:rFonts w:hint="eastAsia" w:ascii="宋体" w:hAnsi="宋体" w:cs="宋体"/>
                <w:sz w:val="21"/>
                <w:szCs w:val="21"/>
                <w:lang w:eastAsia="zh-CN"/>
              </w:rPr>
            </w:pPr>
            <w:r>
              <w:rPr>
                <w:rFonts w:hint="eastAsia" w:ascii="宋体" w:hAnsi="宋体" w:cs="宋体"/>
                <w:sz w:val="21"/>
                <w:szCs w:val="21"/>
                <w:lang w:eastAsia="zh-CN"/>
              </w:rPr>
              <w:t>投建方对实施本项目工期安排和施工安全有明确规划方案，且思路清晰、目标明确。视方案的施工计划时限等对其进行评分。</w:t>
            </w:r>
          </w:p>
          <w:p w14:paraId="7E628F2A">
            <w:pPr>
              <w:pStyle w:val="107"/>
              <w:keepNext w:val="0"/>
              <w:keepLines w:val="0"/>
              <w:pageBreakBefore w:val="0"/>
              <w:widowControl/>
              <w:kinsoku/>
              <w:wordWrap/>
              <w:overflowPunct/>
              <w:topLinePunct w:val="0"/>
              <w:autoSpaceDE/>
              <w:autoSpaceDN/>
              <w:bidi w:val="0"/>
              <w:adjustRightInd w:val="0"/>
              <w:snapToGrid w:val="0"/>
              <w:spacing w:line="240" w:lineRule="auto"/>
              <w:ind w:firstLine="0" w:firstLineChars="0"/>
              <w:jc w:val="left"/>
              <w:textAlignment w:val="center"/>
              <w:rPr>
                <w:rFonts w:hint="default" w:ascii="宋体" w:hAnsi="宋体" w:eastAsia="宋体" w:cs="宋体"/>
                <w:sz w:val="21"/>
                <w:szCs w:val="21"/>
                <w:lang w:val="en-US" w:eastAsia="zh-CN"/>
              </w:rPr>
            </w:pPr>
            <w:r>
              <w:rPr>
                <w:rFonts w:hint="eastAsia" w:ascii="宋体" w:hAnsi="宋体" w:cs="宋体"/>
                <w:sz w:val="21"/>
                <w:szCs w:val="21"/>
                <w:lang w:eastAsia="zh-CN"/>
              </w:rPr>
              <w:t>本项目建设及并网工期不得高于</w:t>
            </w:r>
            <w:r>
              <w:rPr>
                <w:rFonts w:hint="eastAsia" w:ascii="宋体" w:hAnsi="宋体" w:cs="宋体"/>
                <w:sz w:val="21"/>
                <w:szCs w:val="21"/>
                <w:lang w:val="en-US" w:eastAsia="zh-CN"/>
              </w:rPr>
              <w:t>270个日历日，270个日历日为保底工期，以保底工期为基础计算，基础分为1分，每提前25个日历日完成项目建设并网的得1分，最高得4分。</w:t>
            </w:r>
          </w:p>
        </w:tc>
        <w:tc>
          <w:tcPr>
            <w:tcW w:w="705" w:type="dxa"/>
            <w:tcBorders>
              <w:top w:val="single" w:color="000000" w:sz="4" w:space="0"/>
              <w:left w:val="single" w:color="000000" w:sz="4" w:space="0"/>
              <w:bottom w:val="single" w:color="000000" w:sz="4" w:space="0"/>
              <w:right w:val="single" w:color="000000" w:sz="4" w:space="0"/>
            </w:tcBorders>
            <w:vAlign w:val="center"/>
          </w:tcPr>
          <w:p w14:paraId="05E3B063">
            <w:pPr>
              <w:keepNext w:val="0"/>
              <w:keepLines w:val="0"/>
              <w:pageBreakBefore w:val="0"/>
              <w:widowControl/>
              <w:kinsoku/>
              <w:wordWrap/>
              <w:overflowPunct/>
              <w:topLinePunct w:val="0"/>
              <w:autoSpaceDE/>
              <w:autoSpaceDN/>
              <w:bidi w:val="0"/>
              <w:adjustRightInd w:val="0"/>
              <w:snapToGrid w:val="0"/>
              <w:spacing w:line="240" w:lineRule="auto"/>
              <w:jc w:val="center"/>
              <w:textAlignment w:val="center"/>
              <w:rPr>
                <w:rFonts w:hint="default" w:ascii="宋体" w:hAnsi="宋体" w:cs="宋体"/>
                <w:kern w:val="0"/>
                <w:sz w:val="21"/>
                <w:szCs w:val="21"/>
                <w:lang w:val="en-US" w:eastAsia="zh-CN"/>
              </w:rPr>
            </w:pPr>
            <w:r>
              <w:rPr>
                <w:rFonts w:hint="eastAsia" w:ascii="宋体" w:hAnsi="宋体" w:cs="宋体"/>
                <w:kern w:val="0"/>
                <w:sz w:val="21"/>
                <w:szCs w:val="21"/>
                <w:lang w:val="en-US" w:eastAsia="zh-CN"/>
              </w:rPr>
              <w:t>5</w:t>
            </w:r>
          </w:p>
        </w:tc>
        <w:tc>
          <w:tcPr>
            <w:tcW w:w="705" w:type="dxa"/>
            <w:tcBorders>
              <w:top w:val="single" w:color="000000" w:sz="4" w:space="0"/>
              <w:left w:val="single" w:color="000000" w:sz="4" w:space="0"/>
              <w:right w:val="single" w:color="000000" w:sz="4" w:space="0"/>
            </w:tcBorders>
            <w:vAlign w:val="center"/>
          </w:tcPr>
          <w:p w14:paraId="2AAEBECB">
            <w:pPr>
              <w:keepNext w:val="0"/>
              <w:keepLines w:val="0"/>
              <w:pageBreakBefore w:val="0"/>
              <w:widowControl/>
              <w:kinsoku/>
              <w:wordWrap/>
              <w:overflowPunct/>
              <w:topLinePunct w:val="0"/>
              <w:autoSpaceDE/>
              <w:autoSpaceDN/>
              <w:bidi w:val="0"/>
              <w:adjustRightInd w:val="0"/>
              <w:snapToGrid w:val="0"/>
              <w:spacing w:line="240" w:lineRule="auto"/>
              <w:jc w:val="center"/>
              <w:textAlignment w:val="center"/>
              <w:rPr>
                <w:rFonts w:hint="default" w:ascii="宋体" w:hAnsi="宋体" w:cs="宋体"/>
                <w:kern w:val="0"/>
                <w:sz w:val="21"/>
                <w:szCs w:val="21"/>
                <w:lang w:val="en-US" w:eastAsia="zh-CN"/>
              </w:rPr>
            </w:pPr>
            <w:r>
              <w:rPr>
                <w:rFonts w:hint="eastAsia" w:ascii="宋体" w:hAnsi="宋体" w:cs="宋体"/>
                <w:kern w:val="0"/>
                <w:sz w:val="21"/>
                <w:szCs w:val="21"/>
                <w:lang w:val="en-US" w:eastAsia="zh-CN"/>
              </w:rPr>
              <w:t>5</w:t>
            </w:r>
          </w:p>
        </w:tc>
      </w:tr>
      <w:tr w14:paraId="41AEB412">
        <w:tblPrEx>
          <w:tblCellMar>
            <w:top w:w="0" w:type="dxa"/>
            <w:left w:w="0" w:type="dxa"/>
            <w:bottom w:w="0" w:type="dxa"/>
            <w:right w:w="0" w:type="dxa"/>
          </w:tblCellMar>
        </w:tblPrEx>
        <w:trPr>
          <w:trHeight w:val="430" w:hRule="atLeast"/>
          <w:jc w:val="center"/>
        </w:trPr>
        <w:tc>
          <w:tcPr>
            <w:tcW w:w="770" w:type="dxa"/>
            <w:tcBorders>
              <w:top w:val="single" w:color="000000" w:sz="4" w:space="0"/>
              <w:left w:val="single" w:color="000000" w:sz="4" w:space="0"/>
              <w:bottom w:val="single" w:color="000000" w:sz="4" w:space="0"/>
              <w:right w:val="single" w:color="000000" w:sz="4" w:space="0"/>
            </w:tcBorders>
            <w:vAlign w:val="center"/>
          </w:tcPr>
          <w:p w14:paraId="3CB45113">
            <w:pPr>
              <w:keepNext w:val="0"/>
              <w:keepLines w:val="0"/>
              <w:pageBreakBefore w:val="0"/>
              <w:widowControl/>
              <w:kinsoku/>
              <w:wordWrap/>
              <w:overflowPunct/>
              <w:topLinePunct w:val="0"/>
              <w:autoSpaceDE/>
              <w:autoSpaceDN/>
              <w:bidi w:val="0"/>
              <w:adjustRightInd w:val="0"/>
              <w:snapToGrid w:val="0"/>
              <w:spacing w:line="240" w:lineRule="auto"/>
              <w:jc w:val="center"/>
              <w:textAlignment w:val="center"/>
              <w:rPr>
                <w:rFonts w:hint="eastAsia" w:ascii="宋体" w:hAnsi="宋体" w:eastAsia="宋体" w:cs="宋体"/>
                <w:kern w:val="0"/>
                <w:sz w:val="21"/>
                <w:szCs w:val="21"/>
                <w:lang w:val="en-US" w:eastAsia="zh-CN"/>
              </w:rPr>
            </w:pPr>
            <w:r>
              <w:rPr>
                <w:rFonts w:hint="eastAsia" w:ascii="宋体" w:hAnsi="宋体" w:cs="宋体"/>
                <w:kern w:val="0"/>
                <w:sz w:val="21"/>
                <w:szCs w:val="21"/>
                <w:lang w:val="en-US" w:eastAsia="zh-CN"/>
              </w:rPr>
              <w:t>7</w:t>
            </w:r>
          </w:p>
        </w:tc>
        <w:tc>
          <w:tcPr>
            <w:tcW w:w="1124" w:type="dxa"/>
            <w:tcBorders>
              <w:top w:val="single" w:color="000000" w:sz="4" w:space="0"/>
              <w:left w:val="single" w:color="000000" w:sz="4" w:space="0"/>
              <w:bottom w:val="single" w:color="000000" w:sz="4" w:space="0"/>
              <w:right w:val="single" w:color="000000" w:sz="4" w:space="0"/>
            </w:tcBorders>
            <w:vAlign w:val="center"/>
          </w:tcPr>
          <w:p w14:paraId="43AB9DDE">
            <w:pPr>
              <w:keepNext w:val="0"/>
              <w:keepLines w:val="0"/>
              <w:pageBreakBefore w:val="0"/>
              <w:widowControl/>
              <w:kinsoku/>
              <w:wordWrap/>
              <w:overflowPunct/>
              <w:topLinePunct w:val="0"/>
              <w:autoSpaceDE/>
              <w:autoSpaceDN/>
              <w:bidi w:val="0"/>
              <w:adjustRightInd w:val="0"/>
              <w:snapToGrid w:val="0"/>
              <w:spacing w:line="240" w:lineRule="auto"/>
              <w:jc w:val="center"/>
              <w:textAlignment w:val="center"/>
              <w:rPr>
                <w:rFonts w:hint="eastAsia" w:ascii="宋体" w:hAnsi="宋体" w:eastAsia="宋体" w:cs="宋体"/>
                <w:color w:val="auto"/>
                <w:sz w:val="21"/>
                <w:szCs w:val="21"/>
                <w:lang w:eastAsia="zh-CN"/>
              </w:rPr>
            </w:pPr>
            <w:r>
              <w:rPr>
                <w:rFonts w:hint="eastAsia" w:ascii="宋体" w:hAnsi="宋体" w:cs="宋体"/>
                <w:color w:val="auto"/>
                <w:sz w:val="21"/>
                <w:szCs w:val="21"/>
                <w:lang w:eastAsia="zh-CN"/>
              </w:rPr>
              <w:t>光伏电价</w:t>
            </w:r>
          </w:p>
        </w:tc>
        <w:tc>
          <w:tcPr>
            <w:tcW w:w="5835" w:type="dxa"/>
            <w:tcBorders>
              <w:top w:val="single" w:color="000000" w:sz="4" w:space="0"/>
              <w:left w:val="single" w:color="000000" w:sz="4" w:space="0"/>
              <w:bottom w:val="single" w:color="000000" w:sz="4" w:space="0"/>
              <w:right w:val="single" w:color="000000" w:sz="4" w:space="0"/>
            </w:tcBorders>
            <w:vAlign w:val="center"/>
          </w:tcPr>
          <w:p w14:paraId="1AA22FDD">
            <w:pPr>
              <w:pStyle w:val="107"/>
              <w:keepNext w:val="0"/>
              <w:keepLines w:val="0"/>
              <w:pageBreakBefore w:val="0"/>
              <w:widowControl/>
              <w:kinsoku/>
              <w:wordWrap/>
              <w:overflowPunct/>
              <w:topLinePunct w:val="0"/>
              <w:autoSpaceDE/>
              <w:autoSpaceDN/>
              <w:bidi w:val="0"/>
              <w:adjustRightInd w:val="0"/>
              <w:snapToGrid w:val="0"/>
              <w:spacing w:line="240" w:lineRule="auto"/>
              <w:ind w:firstLine="0" w:firstLineChars="0"/>
              <w:jc w:val="left"/>
              <w:textAlignment w:val="center"/>
              <w:rPr>
                <w:rFonts w:hint="default" w:ascii="宋体" w:hAnsi="宋体" w:cs="宋体"/>
                <w:color w:val="auto"/>
                <w:sz w:val="21"/>
                <w:szCs w:val="21"/>
                <w:lang w:val="en-US"/>
              </w:rPr>
            </w:pPr>
            <w:r>
              <w:rPr>
                <w:rFonts w:hint="eastAsia" w:ascii="宋体" w:hAnsi="宋体" w:cs="宋体"/>
                <w:color w:val="auto"/>
                <w:sz w:val="21"/>
                <w:szCs w:val="21"/>
              </w:rPr>
              <w:t>针对本项目的实际情况和特点</w:t>
            </w:r>
            <w:r>
              <w:rPr>
                <w:rFonts w:hint="eastAsia" w:ascii="宋体" w:hAnsi="宋体" w:cs="宋体"/>
                <w:color w:val="auto"/>
                <w:sz w:val="21"/>
                <w:szCs w:val="21"/>
                <w:lang w:eastAsia="zh-CN"/>
              </w:rPr>
              <w:t>，</w:t>
            </w:r>
            <w:r>
              <w:rPr>
                <w:rFonts w:hint="eastAsia" w:ascii="宋体" w:hAnsi="宋体" w:cs="宋体"/>
                <w:color w:val="auto"/>
                <w:sz w:val="21"/>
                <w:szCs w:val="21"/>
                <w:lang w:val="en-US" w:eastAsia="zh-CN"/>
              </w:rPr>
              <w:t xml:space="preserve">投建方所报光伏售电价格为合同期内贵州电网公司代理购电的用户电价为基数的固定折扣电价。以6折固定折扣电价的作为保底固定折扣，以保底固定折扣为基础计算，基础分为20分，固定电价折扣率每下浮0.05则加1分，最高加20分。 </w:t>
            </w:r>
          </w:p>
        </w:tc>
        <w:tc>
          <w:tcPr>
            <w:tcW w:w="705" w:type="dxa"/>
            <w:tcBorders>
              <w:top w:val="single" w:color="000000" w:sz="4" w:space="0"/>
              <w:left w:val="single" w:color="000000" w:sz="4" w:space="0"/>
              <w:bottom w:val="single" w:color="000000" w:sz="4" w:space="0"/>
              <w:right w:val="single" w:color="000000" w:sz="4" w:space="0"/>
            </w:tcBorders>
            <w:vAlign w:val="center"/>
          </w:tcPr>
          <w:p w14:paraId="12E885E9">
            <w:pPr>
              <w:keepNext w:val="0"/>
              <w:keepLines w:val="0"/>
              <w:pageBreakBefore w:val="0"/>
              <w:widowControl/>
              <w:kinsoku/>
              <w:wordWrap/>
              <w:overflowPunct/>
              <w:topLinePunct w:val="0"/>
              <w:autoSpaceDE/>
              <w:autoSpaceDN/>
              <w:bidi w:val="0"/>
              <w:adjustRightInd w:val="0"/>
              <w:snapToGrid w:val="0"/>
              <w:spacing w:line="240" w:lineRule="auto"/>
              <w:jc w:val="center"/>
              <w:textAlignment w:val="center"/>
              <w:rPr>
                <w:rFonts w:hint="default" w:ascii="宋体" w:hAnsi="宋体" w:eastAsia="宋体" w:cs="宋体"/>
                <w:kern w:val="0"/>
                <w:sz w:val="21"/>
                <w:szCs w:val="21"/>
                <w:lang w:val="en-US" w:eastAsia="zh-CN"/>
              </w:rPr>
            </w:pPr>
            <w:r>
              <w:rPr>
                <w:rFonts w:hint="eastAsia" w:ascii="宋体" w:hAnsi="宋体" w:cs="宋体"/>
                <w:kern w:val="0"/>
                <w:sz w:val="21"/>
                <w:szCs w:val="21"/>
                <w:lang w:val="en-US" w:eastAsia="zh-CN"/>
              </w:rPr>
              <w:t>40</w:t>
            </w:r>
          </w:p>
        </w:tc>
        <w:tc>
          <w:tcPr>
            <w:tcW w:w="705" w:type="dxa"/>
            <w:vMerge w:val="restart"/>
            <w:tcBorders>
              <w:top w:val="single" w:color="000000" w:sz="4" w:space="0"/>
              <w:left w:val="single" w:color="000000" w:sz="4" w:space="0"/>
              <w:right w:val="single" w:color="000000" w:sz="4" w:space="0"/>
            </w:tcBorders>
            <w:vAlign w:val="center"/>
          </w:tcPr>
          <w:p w14:paraId="3345C879">
            <w:pPr>
              <w:keepNext w:val="0"/>
              <w:keepLines w:val="0"/>
              <w:pageBreakBefore w:val="0"/>
              <w:widowControl/>
              <w:kinsoku/>
              <w:wordWrap/>
              <w:overflowPunct/>
              <w:topLinePunct w:val="0"/>
              <w:autoSpaceDE/>
              <w:autoSpaceDN/>
              <w:bidi w:val="0"/>
              <w:adjustRightInd w:val="0"/>
              <w:snapToGrid w:val="0"/>
              <w:spacing w:line="240" w:lineRule="auto"/>
              <w:jc w:val="center"/>
              <w:textAlignment w:val="center"/>
              <w:rPr>
                <w:rFonts w:hint="default" w:ascii="宋体" w:hAnsi="宋体" w:eastAsia="宋体" w:cs="宋体"/>
                <w:kern w:val="0"/>
                <w:sz w:val="21"/>
                <w:szCs w:val="21"/>
                <w:lang w:val="en-US" w:eastAsia="zh-CN"/>
              </w:rPr>
            </w:pPr>
            <w:r>
              <w:rPr>
                <w:rFonts w:hint="eastAsia" w:ascii="宋体" w:hAnsi="宋体" w:cs="宋体"/>
                <w:kern w:val="0"/>
                <w:sz w:val="21"/>
                <w:szCs w:val="21"/>
                <w:lang w:val="en-US" w:eastAsia="zh-CN"/>
              </w:rPr>
              <w:t>70</w:t>
            </w:r>
          </w:p>
        </w:tc>
      </w:tr>
      <w:tr w14:paraId="09F5EE6E">
        <w:tblPrEx>
          <w:tblCellMar>
            <w:top w:w="0" w:type="dxa"/>
            <w:left w:w="0" w:type="dxa"/>
            <w:bottom w:w="0" w:type="dxa"/>
            <w:right w:w="0" w:type="dxa"/>
          </w:tblCellMar>
        </w:tblPrEx>
        <w:trPr>
          <w:trHeight w:val="430" w:hRule="atLeast"/>
          <w:jc w:val="center"/>
        </w:trPr>
        <w:tc>
          <w:tcPr>
            <w:tcW w:w="770" w:type="dxa"/>
            <w:tcBorders>
              <w:top w:val="single" w:color="000000" w:sz="4" w:space="0"/>
              <w:left w:val="single" w:color="000000" w:sz="4" w:space="0"/>
              <w:bottom w:val="single" w:color="000000" w:sz="4" w:space="0"/>
              <w:right w:val="single" w:color="000000" w:sz="4" w:space="0"/>
            </w:tcBorders>
            <w:vAlign w:val="center"/>
          </w:tcPr>
          <w:p w14:paraId="3538F657">
            <w:pPr>
              <w:keepNext w:val="0"/>
              <w:keepLines w:val="0"/>
              <w:pageBreakBefore w:val="0"/>
              <w:widowControl/>
              <w:kinsoku/>
              <w:wordWrap/>
              <w:overflowPunct/>
              <w:topLinePunct w:val="0"/>
              <w:autoSpaceDE/>
              <w:autoSpaceDN/>
              <w:bidi w:val="0"/>
              <w:adjustRightInd w:val="0"/>
              <w:snapToGrid w:val="0"/>
              <w:spacing w:line="240" w:lineRule="auto"/>
              <w:jc w:val="center"/>
              <w:textAlignment w:val="center"/>
              <w:rPr>
                <w:rFonts w:hint="default" w:ascii="宋体" w:hAnsi="宋体" w:cs="宋体"/>
                <w:kern w:val="0"/>
                <w:sz w:val="21"/>
                <w:szCs w:val="21"/>
                <w:lang w:val="en-US" w:eastAsia="zh-CN"/>
              </w:rPr>
            </w:pPr>
            <w:r>
              <w:rPr>
                <w:rFonts w:hint="eastAsia" w:ascii="宋体" w:hAnsi="宋体" w:cs="宋体"/>
                <w:kern w:val="0"/>
                <w:sz w:val="21"/>
                <w:szCs w:val="21"/>
                <w:lang w:val="en-US" w:eastAsia="zh-CN"/>
              </w:rPr>
              <w:t>8</w:t>
            </w:r>
          </w:p>
        </w:tc>
        <w:tc>
          <w:tcPr>
            <w:tcW w:w="1124" w:type="dxa"/>
            <w:tcBorders>
              <w:top w:val="single" w:color="000000" w:sz="4" w:space="0"/>
              <w:left w:val="single" w:color="000000" w:sz="4" w:space="0"/>
              <w:bottom w:val="single" w:color="000000" w:sz="4" w:space="0"/>
              <w:right w:val="single" w:color="000000" w:sz="4" w:space="0"/>
            </w:tcBorders>
            <w:vAlign w:val="center"/>
          </w:tcPr>
          <w:p w14:paraId="7B15FB00">
            <w:pPr>
              <w:keepNext w:val="0"/>
              <w:keepLines w:val="0"/>
              <w:pageBreakBefore w:val="0"/>
              <w:widowControl/>
              <w:kinsoku/>
              <w:wordWrap/>
              <w:overflowPunct/>
              <w:topLinePunct w:val="0"/>
              <w:autoSpaceDE/>
              <w:autoSpaceDN/>
              <w:bidi w:val="0"/>
              <w:adjustRightInd w:val="0"/>
              <w:snapToGrid w:val="0"/>
              <w:spacing w:line="240" w:lineRule="auto"/>
              <w:jc w:val="center"/>
              <w:textAlignment w:val="center"/>
              <w:rPr>
                <w:rFonts w:hint="eastAsia" w:ascii="宋体" w:hAnsi="宋体" w:cs="宋体"/>
                <w:color w:val="auto"/>
                <w:sz w:val="21"/>
                <w:szCs w:val="21"/>
                <w:lang w:eastAsia="zh-CN"/>
              </w:rPr>
            </w:pPr>
          </w:p>
          <w:p w14:paraId="6B0A926F">
            <w:pPr>
              <w:keepNext w:val="0"/>
              <w:keepLines w:val="0"/>
              <w:pageBreakBefore w:val="0"/>
              <w:widowControl/>
              <w:kinsoku/>
              <w:wordWrap/>
              <w:overflowPunct/>
              <w:topLinePunct w:val="0"/>
              <w:autoSpaceDE/>
              <w:autoSpaceDN/>
              <w:bidi w:val="0"/>
              <w:adjustRightInd w:val="0"/>
              <w:snapToGrid w:val="0"/>
              <w:spacing w:line="240" w:lineRule="auto"/>
              <w:jc w:val="center"/>
              <w:textAlignment w:val="center"/>
              <w:rPr>
                <w:rFonts w:hint="eastAsia" w:ascii="宋体" w:hAnsi="宋体" w:cs="宋体"/>
                <w:color w:val="auto"/>
                <w:sz w:val="21"/>
                <w:szCs w:val="21"/>
                <w:lang w:eastAsia="zh-CN"/>
              </w:rPr>
            </w:pPr>
            <w:r>
              <w:rPr>
                <w:rFonts w:hint="eastAsia" w:ascii="宋体" w:hAnsi="宋体" w:cs="宋体"/>
                <w:color w:val="auto"/>
                <w:sz w:val="21"/>
                <w:szCs w:val="21"/>
                <w:lang w:eastAsia="zh-CN"/>
              </w:rPr>
              <w:t>高压柜接入及维护</w:t>
            </w:r>
          </w:p>
        </w:tc>
        <w:tc>
          <w:tcPr>
            <w:tcW w:w="5835" w:type="dxa"/>
            <w:tcBorders>
              <w:top w:val="single" w:color="000000" w:sz="4" w:space="0"/>
              <w:left w:val="single" w:color="000000" w:sz="4" w:space="0"/>
              <w:bottom w:val="single" w:color="000000" w:sz="4" w:space="0"/>
              <w:right w:val="single" w:color="000000" w:sz="4" w:space="0"/>
            </w:tcBorders>
            <w:vAlign w:val="center"/>
          </w:tcPr>
          <w:p w14:paraId="3EC3DFD5">
            <w:pPr>
              <w:pStyle w:val="107"/>
              <w:keepNext w:val="0"/>
              <w:keepLines w:val="0"/>
              <w:pageBreakBefore w:val="0"/>
              <w:widowControl/>
              <w:numPr>
                <w:ilvl w:val="-1"/>
                <w:numId w:val="0"/>
              </w:numPr>
              <w:kinsoku/>
              <w:wordWrap/>
              <w:overflowPunct/>
              <w:topLinePunct w:val="0"/>
              <w:autoSpaceDE/>
              <w:autoSpaceDN/>
              <w:bidi w:val="0"/>
              <w:adjustRightInd w:val="0"/>
              <w:snapToGrid w:val="0"/>
              <w:spacing w:line="240" w:lineRule="auto"/>
              <w:ind w:firstLine="0" w:firstLineChars="0"/>
              <w:jc w:val="left"/>
              <w:textAlignment w:val="center"/>
              <w:rPr>
                <w:rFonts w:hint="eastAsia" w:ascii="宋体" w:hAnsi="宋体" w:cs="宋体"/>
                <w:color w:val="auto"/>
                <w:sz w:val="21"/>
                <w:szCs w:val="21"/>
                <w:lang w:val="en-US" w:eastAsia="zh-CN"/>
              </w:rPr>
            </w:pPr>
            <w:r>
              <w:rPr>
                <w:rFonts w:hint="eastAsia" w:ascii="宋体" w:hAnsi="宋体" w:cs="宋体"/>
                <w:color w:val="auto"/>
                <w:kern w:val="0"/>
                <w:sz w:val="21"/>
                <w:szCs w:val="21"/>
                <w:lang w:val="en-US" w:eastAsia="zh-CN"/>
              </w:rPr>
              <w:t>1.</w:t>
            </w:r>
            <w:r>
              <w:rPr>
                <w:rFonts w:hint="eastAsia" w:ascii="宋体" w:hAnsi="宋体" w:eastAsia="宋体" w:cs="宋体"/>
                <w:b w:val="0"/>
                <w:bCs w:val="0"/>
                <w:sz w:val="21"/>
                <w:szCs w:val="21"/>
                <w:vertAlign w:val="baseline"/>
                <w:lang w:val="en-US" w:eastAsia="zh-CN"/>
              </w:rPr>
              <w:t>高压柜</w:t>
            </w:r>
            <w:r>
              <w:rPr>
                <w:rFonts w:hint="eastAsia" w:ascii="宋体" w:hAnsi="宋体" w:cs="宋体"/>
                <w:b w:val="0"/>
                <w:bCs w:val="0"/>
                <w:sz w:val="21"/>
                <w:szCs w:val="21"/>
                <w:vertAlign w:val="baseline"/>
                <w:lang w:val="en-US" w:eastAsia="zh-CN"/>
              </w:rPr>
              <w:t>接入。</w:t>
            </w:r>
            <w:r>
              <w:rPr>
                <w:rFonts w:hint="eastAsia" w:ascii="宋体" w:hAnsi="宋体" w:cs="宋体"/>
                <w:color w:val="auto"/>
                <w:kern w:val="0"/>
                <w:sz w:val="21"/>
                <w:szCs w:val="21"/>
                <w:lang w:val="en-US" w:eastAsia="zh-CN"/>
              </w:rPr>
              <w:t>接入费用报价为人民币18万元/年/台，此为保底价格，以保底价格为基础计算，基础分10分，</w:t>
            </w:r>
            <w:r>
              <w:rPr>
                <w:rFonts w:hint="eastAsia" w:ascii="宋体" w:hAnsi="宋体" w:cs="宋体"/>
                <w:color w:val="auto"/>
                <w:sz w:val="21"/>
                <w:szCs w:val="21"/>
                <w:lang w:val="en-US" w:eastAsia="zh-CN"/>
              </w:rPr>
              <w:t>每增加10000元/年/台接入费用则加1分，最高加5分。</w:t>
            </w:r>
          </w:p>
          <w:p w14:paraId="1E578ABE">
            <w:pPr>
              <w:pStyle w:val="107"/>
              <w:keepNext w:val="0"/>
              <w:keepLines w:val="0"/>
              <w:pageBreakBefore w:val="0"/>
              <w:widowControl/>
              <w:numPr>
                <w:ilvl w:val="-1"/>
                <w:numId w:val="0"/>
              </w:numPr>
              <w:kinsoku/>
              <w:wordWrap/>
              <w:overflowPunct/>
              <w:topLinePunct w:val="0"/>
              <w:autoSpaceDE/>
              <w:autoSpaceDN/>
              <w:bidi w:val="0"/>
              <w:adjustRightInd w:val="0"/>
              <w:snapToGrid w:val="0"/>
              <w:spacing w:line="240" w:lineRule="auto"/>
              <w:ind w:firstLine="0" w:firstLineChars="0"/>
              <w:jc w:val="left"/>
              <w:textAlignment w:val="center"/>
              <w:rPr>
                <w:rFonts w:hint="default" w:ascii="宋体" w:hAnsi="宋体" w:eastAsia="宋体" w:cs="宋体"/>
                <w:color w:val="auto"/>
                <w:sz w:val="21"/>
                <w:szCs w:val="21"/>
                <w:lang w:val="en-US" w:eastAsia="zh-CN"/>
              </w:rPr>
            </w:pPr>
            <w:r>
              <w:rPr>
                <w:rFonts w:hint="eastAsia" w:ascii="宋体" w:hAnsi="宋体" w:cs="宋体"/>
                <w:color w:val="auto"/>
                <w:kern w:val="0"/>
                <w:sz w:val="21"/>
                <w:szCs w:val="21"/>
                <w:lang w:val="en-US" w:eastAsia="zh-CN"/>
              </w:rPr>
              <w:t>2.三台</w:t>
            </w:r>
            <w:r>
              <w:rPr>
                <w:rFonts w:hint="eastAsia" w:ascii="宋体" w:hAnsi="宋体" w:cs="宋体"/>
                <w:b w:val="0"/>
                <w:bCs w:val="0"/>
                <w:sz w:val="21"/>
                <w:szCs w:val="21"/>
                <w:vertAlign w:val="baseline"/>
                <w:lang w:val="en-US" w:eastAsia="zh-CN"/>
              </w:rPr>
              <w:t>高压柜维护</w:t>
            </w:r>
            <w:r>
              <w:rPr>
                <w:rFonts w:hint="eastAsia" w:ascii="宋体" w:hAnsi="宋体" w:cs="宋体"/>
                <w:color w:val="auto"/>
                <w:kern w:val="0"/>
                <w:sz w:val="21"/>
                <w:szCs w:val="21"/>
                <w:lang w:val="en-US" w:eastAsia="zh-CN"/>
              </w:rPr>
              <w:t>，维护费用基础报价为人民币15万元/年/台，此为保底价格，以保底价格为基础计算，基础分10分，</w:t>
            </w:r>
            <w:r>
              <w:rPr>
                <w:rFonts w:hint="eastAsia" w:ascii="宋体" w:hAnsi="宋体" w:cs="宋体"/>
                <w:color w:val="auto"/>
                <w:sz w:val="21"/>
                <w:szCs w:val="21"/>
                <w:lang w:val="en-US" w:eastAsia="zh-CN"/>
              </w:rPr>
              <w:t>每增加10000元/年/台维护费用则加1分，最高加5分。</w:t>
            </w:r>
          </w:p>
        </w:tc>
        <w:tc>
          <w:tcPr>
            <w:tcW w:w="705" w:type="dxa"/>
            <w:tcBorders>
              <w:top w:val="single" w:color="000000" w:sz="4" w:space="0"/>
              <w:left w:val="single" w:color="000000" w:sz="4" w:space="0"/>
              <w:bottom w:val="single" w:color="000000" w:sz="4" w:space="0"/>
              <w:right w:val="single" w:color="000000" w:sz="4" w:space="0"/>
            </w:tcBorders>
            <w:vAlign w:val="center"/>
          </w:tcPr>
          <w:p w14:paraId="5AFEAEE3">
            <w:pPr>
              <w:keepNext w:val="0"/>
              <w:keepLines w:val="0"/>
              <w:pageBreakBefore w:val="0"/>
              <w:widowControl/>
              <w:kinsoku/>
              <w:wordWrap/>
              <w:overflowPunct/>
              <w:topLinePunct w:val="0"/>
              <w:autoSpaceDE/>
              <w:autoSpaceDN/>
              <w:bidi w:val="0"/>
              <w:adjustRightInd w:val="0"/>
              <w:snapToGrid w:val="0"/>
              <w:spacing w:line="240" w:lineRule="auto"/>
              <w:jc w:val="center"/>
              <w:textAlignment w:val="center"/>
              <w:rPr>
                <w:rFonts w:hint="default" w:ascii="宋体" w:hAnsi="宋体" w:eastAsia="宋体" w:cs="宋体"/>
                <w:kern w:val="0"/>
                <w:sz w:val="21"/>
                <w:szCs w:val="21"/>
                <w:lang w:val="en-US" w:eastAsia="zh-CN"/>
              </w:rPr>
            </w:pPr>
            <w:r>
              <w:rPr>
                <w:rFonts w:hint="eastAsia" w:ascii="宋体" w:hAnsi="宋体" w:cs="宋体"/>
                <w:kern w:val="0"/>
                <w:sz w:val="21"/>
                <w:szCs w:val="21"/>
                <w:lang w:val="en-US" w:eastAsia="zh-CN"/>
              </w:rPr>
              <w:t>30</w:t>
            </w:r>
          </w:p>
        </w:tc>
        <w:tc>
          <w:tcPr>
            <w:tcW w:w="705" w:type="dxa"/>
            <w:vMerge w:val="continue"/>
            <w:tcBorders>
              <w:left w:val="single" w:color="000000" w:sz="4" w:space="0"/>
              <w:bottom w:val="single" w:color="auto" w:sz="4" w:space="0"/>
              <w:right w:val="single" w:color="000000" w:sz="4" w:space="0"/>
            </w:tcBorders>
            <w:vAlign w:val="center"/>
          </w:tcPr>
          <w:p w14:paraId="40BEEED4">
            <w:pPr>
              <w:keepNext w:val="0"/>
              <w:keepLines w:val="0"/>
              <w:pageBreakBefore w:val="0"/>
              <w:widowControl/>
              <w:kinsoku/>
              <w:wordWrap/>
              <w:overflowPunct/>
              <w:topLinePunct w:val="0"/>
              <w:autoSpaceDE/>
              <w:autoSpaceDN/>
              <w:bidi w:val="0"/>
              <w:adjustRightInd w:val="0"/>
              <w:snapToGrid w:val="0"/>
              <w:spacing w:line="240" w:lineRule="auto"/>
              <w:jc w:val="center"/>
              <w:textAlignment w:val="center"/>
              <w:rPr>
                <w:rFonts w:hint="eastAsia" w:ascii="宋体" w:hAnsi="宋体" w:cs="宋体"/>
                <w:kern w:val="0"/>
                <w:sz w:val="21"/>
                <w:szCs w:val="21"/>
              </w:rPr>
            </w:pPr>
          </w:p>
        </w:tc>
      </w:tr>
      <w:bookmarkEnd w:id="221"/>
      <w:bookmarkEnd w:id="222"/>
    </w:tbl>
    <w:p w14:paraId="4027C5E3">
      <w:pPr>
        <w:pStyle w:val="3"/>
        <w:keepNext/>
        <w:keepLines/>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黑体" w:hAnsi="黑体" w:eastAsia="黑体" w:cs="黑体"/>
          <w:b w:val="0"/>
          <w:bCs w:val="0"/>
          <w:sz w:val="32"/>
          <w:szCs w:val="32"/>
          <w:lang w:val="en-US" w:eastAsia="zh-CN"/>
        </w:rPr>
      </w:pPr>
      <w:bookmarkStart w:id="223" w:name="_Toc11521"/>
      <w:bookmarkStart w:id="224" w:name="_Toc22411"/>
      <w:bookmarkStart w:id="225" w:name="_Toc30739"/>
      <w:bookmarkStart w:id="226" w:name="_Toc14845"/>
      <w:bookmarkStart w:id="227" w:name="_Toc6886"/>
      <w:bookmarkStart w:id="228" w:name="_Toc3767"/>
      <w:bookmarkStart w:id="229" w:name="_Toc26943"/>
      <w:bookmarkStart w:id="230" w:name="_Toc9686"/>
      <w:bookmarkStart w:id="231" w:name="_Toc3904"/>
      <w:bookmarkStart w:id="232" w:name="_Toc8009"/>
      <w:bookmarkStart w:id="233" w:name="_Toc26072"/>
      <w:r>
        <w:rPr>
          <w:rFonts w:hint="eastAsia" w:ascii="黑体" w:hAnsi="黑体" w:eastAsia="黑体" w:cs="黑体"/>
          <w:b w:val="0"/>
          <w:bCs w:val="0"/>
          <w:sz w:val="32"/>
          <w:szCs w:val="32"/>
          <w:lang w:val="en-US" w:eastAsia="zh-CN"/>
        </w:rPr>
        <w:t>七、技术服务要求</w:t>
      </w:r>
      <w:bookmarkEnd w:id="81"/>
      <w:bookmarkEnd w:id="223"/>
      <w:bookmarkEnd w:id="224"/>
      <w:bookmarkEnd w:id="225"/>
      <w:bookmarkEnd w:id="226"/>
      <w:bookmarkEnd w:id="227"/>
      <w:bookmarkEnd w:id="228"/>
      <w:bookmarkEnd w:id="229"/>
      <w:bookmarkEnd w:id="230"/>
      <w:bookmarkEnd w:id="231"/>
      <w:bookmarkEnd w:id="232"/>
      <w:bookmarkEnd w:id="233"/>
    </w:p>
    <w:p w14:paraId="3DDDE8CB">
      <w:pPr>
        <w:pStyle w:val="4"/>
        <w:keepNext/>
        <w:keepLines/>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楷体" w:hAnsi="楷体" w:eastAsia="楷体" w:cs="楷体"/>
          <w:b w:val="0"/>
          <w:bCs w:val="0"/>
          <w:sz w:val="32"/>
          <w:szCs w:val="32"/>
          <w:lang w:val="zh-CN" w:eastAsia="zh-CN"/>
        </w:rPr>
      </w:pPr>
      <w:bookmarkStart w:id="234" w:name="_Toc3854"/>
      <w:bookmarkStart w:id="235" w:name="_Toc29345"/>
      <w:bookmarkStart w:id="236" w:name="_Toc24441"/>
      <w:bookmarkStart w:id="237" w:name="_Toc31927"/>
      <w:bookmarkStart w:id="238" w:name="_Toc28651"/>
      <w:bookmarkStart w:id="239" w:name="_Toc4401"/>
      <w:bookmarkStart w:id="240" w:name="_Toc20042"/>
      <w:bookmarkStart w:id="241" w:name="_Toc13959"/>
      <w:bookmarkStart w:id="242" w:name="_Toc4899"/>
      <w:bookmarkStart w:id="243" w:name="_Toc30357"/>
      <w:bookmarkStart w:id="244" w:name="_Toc5370"/>
      <w:bookmarkStart w:id="245" w:name="_Toc6879"/>
      <w:r>
        <w:rPr>
          <w:rFonts w:hint="eastAsia" w:ascii="楷体" w:hAnsi="楷体" w:eastAsia="楷体" w:cs="楷体"/>
          <w:b w:val="0"/>
          <w:bCs w:val="0"/>
          <w:sz w:val="32"/>
          <w:szCs w:val="32"/>
          <w:lang w:val="zh-CN" w:eastAsia="zh-CN"/>
        </w:rPr>
        <w:t>（一）项目概述及要求</w:t>
      </w:r>
      <w:bookmarkEnd w:id="234"/>
      <w:bookmarkEnd w:id="235"/>
      <w:bookmarkEnd w:id="236"/>
      <w:bookmarkEnd w:id="237"/>
      <w:bookmarkEnd w:id="238"/>
      <w:bookmarkEnd w:id="239"/>
      <w:bookmarkEnd w:id="240"/>
      <w:bookmarkEnd w:id="241"/>
      <w:bookmarkEnd w:id="242"/>
      <w:bookmarkEnd w:id="243"/>
      <w:bookmarkEnd w:id="244"/>
      <w:bookmarkEnd w:id="245"/>
    </w:p>
    <w:p w14:paraId="00D98FDC">
      <w:pPr>
        <w:spacing w:line="560" w:lineRule="exact"/>
        <w:ind w:firstLine="640" w:firstLineChars="200"/>
        <w:jc w:val="left"/>
        <w:rPr>
          <w:rFonts w:hint="eastAsia" w:ascii="仿宋" w:hAnsi="仿宋" w:eastAsia="仿宋" w:cs="仿宋"/>
          <w:color w:val="auto"/>
          <w:sz w:val="32"/>
          <w:szCs w:val="32"/>
        </w:rPr>
      </w:pPr>
      <w:r>
        <w:rPr>
          <w:rFonts w:hint="eastAsia" w:ascii="仿宋" w:hAnsi="仿宋" w:eastAsia="仿宋" w:cs="仿宋"/>
          <w:color w:val="auto"/>
          <w:sz w:val="32"/>
          <w:szCs w:val="32"/>
        </w:rPr>
        <w:t>1</w:t>
      </w:r>
      <w:r>
        <w:rPr>
          <w:rFonts w:hint="eastAsia" w:ascii="仿宋" w:hAnsi="仿宋" w:eastAsia="仿宋" w:cs="仿宋"/>
          <w:color w:val="auto"/>
          <w:sz w:val="32"/>
          <w:szCs w:val="32"/>
          <w:lang w:val="en-US" w:eastAsia="zh-CN"/>
        </w:rPr>
        <w:t>.</w:t>
      </w:r>
      <w:r>
        <w:rPr>
          <w:rFonts w:hint="eastAsia" w:ascii="仿宋" w:hAnsi="仿宋" w:eastAsia="仿宋" w:cs="仿宋"/>
          <w:color w:val="auto"/>
          <w:sz w:val="32"/>
          <w:szCs w:val="32"/>
        </w:rPr>
        <w:t>本项目</w:t>
      </w:r>
      <w:r>
        <w:rPr>
          <w:rFonts w:hint="eastAsia" w:ascii="仿宋" w:hAnsi="仿宋" w:eastAsia="仿宋" w:cs="仿宋"/>
          <w:color w:val="auto"/>
          <w:sz w:val="32"/>
          <w:szCs w:val="32"/>
          <w:lang w:eastAsia="zh-CN"/>
        </w:rPr>
        <w:t>通过公开招商确定铜仁机场光伏项目投建方</w:t>
      </w:r>
      <w:r>
        <w:rPr>
          <w:rFonts w:hint="eastAsia" w:ascii="仿宋" w:hAnsi="仿宋" w:eastAsia="仿宋" w:cs="仿宋"/>
          <w:color w:val="auto"/>
          <w:sz w:val="32"/>
          <w:szCs w:val="32"/>
        </w:rPr>
        <w:t>。</w:t>
      </w:r>
    </w:p>
    <w:p w14:paraId="32E466A2">
      <w:pPr>
        <w:spacing w:line="560" w:lineRule="exact"/>
        <w:ind w:firstLine="640" w:firstLineChars="200"/>
        <w:jc w:val="left"/>
        <w:rPr>
          <w:rFonts w:hint="eastAsia" w:ascii="仿宋" w:hAnsi="仿宋" w:eastAsia="仿宋" w:cs="仿宋"/>
          <w:sz w:val="32"/>
          <w:szCs w:val="32"/>
          <w:highlight w:val="none"/>
        </w:rPr>
      </w:pPr>
      <w:r>
        <w:rPr>
          <w:rFonts w:hint="eastAsia" w:ascii="仿宋" w:hAnsi="仿宋" w:eastAsia="仿宋" w:cs="仿宋"/>
          <w:sz w:val="32"/>
          <w:szCs w:val="32"/>
          <w:highlight w:val="none"/>
          <w:lang w:val="en-US" w:eastAsia="zh-CN"/>
        </w:rPr>
        <w:t>1）本招商</w:t>
      </w:r>
      <w:r>
        <w:rPr>
          <w:rFonts w:hint="eastAsia" w:ascii="仿宋" w:hAnsi="仿宋" w:eastAsia="仿宋" w:cs="仿宋"/>
          <w:sz w:val="32"/>
          <w:szCs w:val="32"/>
          <w:highlight w:val="none"/>
        </w:rPr>
        <w:t>项目由</w:t>
      </w:r>
      <w:r>
        <w:rPr>
          <w:rFonts w:hint="eastAsia" w:ascii="仿宋" w:hAnsi="仿宋" w:eastAsia="仿宋" w:cs="仿宋"/>
          <w:sz w:val="32"/>
          <w:szCs w:val="32"/>
          <w:highlight w:val="none"/>
          <w:lang w:eastAsia="zh-CN"/>
        </w:rPr>
        <w:t>投建方</w:t>
      </w:r>
      <w:r>
        <w:rPr>
          <w:rFonts w:hint="eastAsia" w:ascii="仿宋" w:hAnsi="仿宋" w:eastAsia="仿宋" w:cs="仿宋"/>
          <w:sz w:val="32"/>
          <w:szCs w:val="32"/>
          <w:highlight w:val="none"/>
        </w:rPr>
        <w:t>负责</w:t>
      </w:r>
      <w:r>
        <w:rPr>
          <w:rFonts w:hint="eastAsia" w:ascii="仿宋" w:hAnsi="仿宋" w:eastAsia="仿宋" w:cs="仿宋"/>
          <w:sz w:val="32"/>
          <w:szCs w:val="32"/>
          <w:highlight w:val="none"/>
          <w:lang w:eastAsia="zh-CN"/>
        </w:rPr>
        <w:t>备案审批、</w:t>
      </w:r>
      <w:r>
        <w:rPr>
          <w:rFonts w:hint="eastAsia" w:ascii="仿宋" w:hAnsi="仿宋" w:eastAsia="仿宋" w:cs="仿宋"/>
          <w:sz w:val="32"/>
          <w:szCs w:val="32"/>
          <w:highlight w:val="none"/>
        </w:rPr>
        <w:t>投资、设备材料采购供应、建筑及安装工程施工、工程管理、</w:t>
      </w:r>
      <w:r>
        <w:rPr>
          <w:rFonts w:hint="eastAsia" w:ascii="仿宋" w:hAnsi="仿宋" w:eastAsia="仿宋" w:cs="仿宋"/>
          <w:sz w:val="32"/>
          <w:szCs w:val="32"/>
          <w:highlight w:val="none"/>
          <w:lang w:eastAsia="zh-CN"/>
        </w:rPr>
        <w:t>监理、</w:t>
      </w:r>
      <w:r>
        <w:rPr>
          <w:rFonts w:hint="eastAsia" w:ascii="仿宋" w:hAnsi="仿宋" w:eastAsia="仿宋" w:cs="仿宋"/>
          <w:sz w:val="32"/>
          <w:szCs w:val="32"/>
          <w:highlight w:val="none"/>
        </w:rPr>
        <w:t>调试、试运、功能试验、直至验收交付生产</w:t>
      </w:r>
      <w:r>
        <w:rPr>
          <w:rFonts w:hint="eastAsia" w:ascii="仿宋" w:hAnsi="仿宋" w:eastAsia="仿宋" w:cs="仿宋"/>
          <w:sz w:val="32"/>
          <w:szCs w:val="32"/>
          <w:highlight w:val="none"/>
          <w:lang w:eastAsia="zh-CN"/>
        </w:rPr>
        <w:t>，</w:t>
      </w:r>
      <w:r>
        <w:rPr>
          <w:rFonts w:hint="eastAsia" w:ascii="仿宋" w:hAnsi="仿宋" w:eastAsia="仿宋" w:cs="仿宋"/>
          <w:sz w:val="32"/>
          <w:szCs w:val="32"/>
          <w:highlight w:val="none"/>
        </w:rPr>
        <w:t>以及在质量保修期内的消缺等全过程工作；同时要负责合同期内本项目系统的运行维护</w:t>
      </w:r>
      <w:r>
        <w:rPr>
          <w:rFonts w:hint="eastAsia" w:ascii="仿宋" w:hAnsi="仿宋" w:eastAsia="仿宋" w:cs="仿宋"/>
          <w:sz w:val="32"/>
          <w:szCs w:val="32"/>
          <w:highlight w:val="none"/>
          <w:lang w:eastAsia="zh-CN"/>
        </w:rPr>
        <w:t>及安全管理责任</w:t>
      </w:r>
      <w:r>
        <w:rPr>
          <w:rFonts w:hint="eastAsia" w:ascii="仿宋" w:hAnsi="仿宋" w:eastAsia="仿宋" w:cs="仿宋"/>
          <w:sz w:val="32"/>
          <w:szCs w:val="32"/>
          <w:highlight w:val="none"/>
        </w:rPr>
        <w:t>，确保系统安全、稳定、经济运行。</w:t>
      </w:r>
    </w:p>
    <w:p w14:paraId="5BC353DA">
      <w:pPr>
        <w:spacing w:line="560" w:lineRule="exact"/>
        <w:ind w:firstLine="640" w:firstLineChars="200"/>
        <w:jc w:val="left"/>
        <w:rPr>
          <w:rFonts w:hint="eastAsia" w:ascii="仿宋" w:hAnsi="仿宋" w:eastAsia="仿宋" w:cs="仿宋"/>
          <w:sz w:val="32"/>
          <w:szCs w:val="32"/>
        </w:rPr>
      </w:pPr>
      <w:r>
        <w:rPr>
          <w:rFonts w:hint="eastAsia" w:ascii="仿宋" w:hAnsi="仿宋" w:eastAsia="仿宋" w:cs="仿宋"/>
          <w:sz w:val="32"/>
          <w:szCs w:val="32"/>
          <w:lang w:val="en-US" w:eastAsia="zh-CN"/>
        </w:rPr>
        <w:t>2）</w:t>
      </w:r>
      <w:r>
        <w:rPr>
          <w:rFonts w:hint="eastAsia" w:ascii="仿宋" w:hAnsi="仿宋" w:eastAsia="仿宋" w:cs="仿宋"/>
          <w:sz w:val="32"/>
          <w:szCs w:val="32"/>
        </w:rPr>
        <w:t>项目采用合</w:t>
      </w:r>
      <w:r>
        <w:rPr>
          <w:rFonts w:hint="eastAsia" w:ascii="仿宋" w:hAnsi="仿宋" w:eastAsia="仿宋" w:cs="仿宋"/>
          <w:sz w:val="32"/>
          <w:szCs w:val="32"/>
          <w:lang w:eastAsia="zh-CN"/>
        </w:rPr>
        <w:t>作管理</w:t>
      </w:r>
      <w:r>
        <w:rPr>
          <w:rFonts w:hint="eastAsia" w:ascii="仿宋" w:hAnsi="仿宋" w:eastAsia="仿宋" w:cs="仿宋"/>
          <w:sz w:val="32"/>
          <w:szCs w:val="32"/>
        </w:rPr>
        <w:t>模式，由</w:t>
      </w:r>
      <w:r>
        <w:rPr>
          <w:rFonts w:hint="eastAsia" w:ascii="仿宋" w:hAnsi="仿宋" w:eastAsia="仿宋" w:cs="仿宋"/>
          <w:sz w:val="32"/>
          <w:szCs w:val="32"/>
          <w:lang w:eastAsia="zh-CN"/>
        </w:rPr>
        <w:t>投建方</w:t>
      </w:r>
      <w:r>
        <w:rPr>
          <w:rFonts w:hint="eastAsia" w:ascii="仿宋" w:hAnsi="仿宋" w:eastAsia="仿宋" w:cs="仿宋"/>
          <w:sz w:val="32"/>
          <w:szCs w:val="32"/>
        </w:rPr>
        <w:t>负责项目的设计、投资、建设、</w:t>
      </w:r>
      <w:r>
        <w:rPr>
          <w:rFonts w:hint="eastAsia" w:ascii="仿宋" w:hAnsi="仿宋" w:eastAsia="仿宋" w:cs="仿宋"/>
          <w:sz w:val="32"/>
          <w:szCs w:val="32"/>
          <w:lang w:eastAsia="zh-CN"/>
        </w:rPr>
        <w:t>合同期</w:t>
      </w:r>
      <w:r>
        <w:rPr>
          <w:rFonts w:hint="eastAsia" w:ascii="仿宋" w:hAnsi="仿宋" w:eastAsia="仿宋" w:cs="仿宋"/>
          <w:sz w:val="32"/>
          <w:szCs w:val="32"/>
        </w:rPr>
        <w:t>内的运行维护、系统升级、效率的保证等问题，统筹策划，包括但不限于人员能力培训、资料整体交付等。</w:t>
      </w:r>
      <w:r>
        <w:rPr>
          <w:rFonts w:hint="eastAsia" w:ascii="仿宋" w:hAnsi="仿宋" w:eastAsia="仿宋" w:cs="仿宋"/>
          <w:sz w:val="32"/>
          <w:szCs w:val="32"/>
          <w:lang w:eastAsia="zh-CN"/>
        </w:rPr>
        <w:t>合同</w:t>
      </w:r>
      <w:r>
        <w:rPr>
          <w:rFonts w:hint="eastAsia" w:ascii="仿宋" w:hAnsi="仿宋" w:eastAsia="仿宋" w:cs="仿宋"/>
          <w:sz w:val="32"/>
          <w:szCs w:val="32"/>
        </w:rPr>
        <w:t>期内</w:t>
      </w:r>
      <w:r>
        <w:rPr>
          <w:rFonts w:hint="eastAsia" w:ascii="仿宋" w:hAnsi="仿宋" w:eastAsia="仿宋" w:cs="仿宋"/>
          <w:sz w:val="32"/>
          <w:szCs w:val="32"/>
          <w:lang w:eastAsia="zh-CN"/>
        </w:rPr>
        <w:t>铜仁机场</w:t>
      </w:r>
      <w:r>
        <w:rPr>
          <w:rFonts w:hint="eastAsia" w:ascii="仿宋" w:hAnsi="仿宋" w:eastAsia="仿宋" w:cs="仿宋"/>
          <w:sz w:val="32"/>
          <w:szCs w:val="32"/>
        </w:rPr>
        <w:t>负责缴纳光伏用电电费，除此之外的</w:t>
      </w:r>
      <w:r>
        <w:rPr>
          <w:rFonts w:hint="eastAsia" w:ascii="仿宋" w:hAnsi="仿宋" w:eastAsia="仿宋" w:cs="仿宋"/>
          <w:sz w:val="32"/>
          <w:szCs w:val="32"/>
          <w:lang w:eastAsia="zh-CN"/>
        </w:rPr>
        <w:t>铜仁机场光伏项目</w:t>
      </w:r>
      <w:r>
        <w:rPr>
          <w:rFonts w:hint="eastAsia" w:ascii="仿宋" w:hAnsi="仿宋" w:eastAsia="仿宋" w:cs="仿宋"/>
          <w:sz w:val="32"/>
          <w:szCs w:val="32"/>
        </w:rPr>
        <w:t>建设及运维相关的所有事项，均由</w:t>
      </w:r>
      <w:r>
        <w:rPr>
          <w:rFonts w:hint="eastAsia" w:ascii="仿宋" w:hAnsi="仿宋" w:eastAsia="仿宋" w:cs="仿宋"/>
          <w:sz w:val="32"/>
          <w:szCs w:val="32"/>
          <w:lang w:eastAsia="zh-CN"/>
        </w:rPr>
        <w:t>投建方</w:t>
      </w:r>
      <w:r>
        <w:rPr>
          <w:rFonts w:hint="eastAsia" w:ascii="仿宋" w:hAnsi="仿宋" w:eastAsia="仿宋" w:cs="仿宋"/>
          <w:sz w:val="32"/>
          <w:szCs w:val="32"/>
        </w:rPr>
        <w:t>负责实施，</w:t>
      </w:r>
      <w:r>
        <w:rPr>
          <w:rFonts w:hint="eastAsia" w:ascii="仿宋" w:hAnsi="仿宋" w:eastAsia="仿宋" w:cs="仿宋"/>
          <w:sz w:val="32"/>
          <w:szCs w:val="32"/>
          <w:lang w:eastAsia="zh-CN"/>
        </w:rPr>
        <w:t>铜仁机场</w:t>
      </w:r>
      <w:r>
        <w:rPr>
          <w:rFonts w:hint="eastAsia" w:ascii="仿宋" w:hAnsi="仿宋" w:eastAsia="仿宋" w:cs="仿宋"/>
          <w:sz w:val="32"/>
          <w:szCs w:val="32"/>
        </w:rPr>
        <w:t>配合。项目采用“自发自用，余电上网”模式，具体接入方式以接入批复为准。</w:t>
      </w:r>
    </w:p>
    <w:p w14:paraId="61D95D18">
      <w:pPr>
        <w:spacing w:line="560" w:lineRule="exact"/>
        <w:ind w:firstLine="640" w:firstLineChars="200"/>
        <w:jc w:val="left"/>
        <w:rPr>
          <w:rFonts w:hint="eastAsia" w:ascii="仿宋" w:hAnsi="仿宋" w:eastAsia="仿宋" w:cs="仿宋"/>
          <w:sz w:val="32"/>
          <w:szCs w:val="32"/>
        </w:rPr>
      </w:pPr>
      <w:r>
        <w:rPr>
          <w:rFonts w:hint="eastAsia" w:ascii="仿宋" w:hAnsi="仿宋" w:eastAsia="仿宋" w:cs="仿宋"/>
          <w:sz w:val="32"/>
          <w:szCs w:val="32"/>
          <w:lang w:val="en-US" w:eastAsia="zh-CN"/>
        </w:rPr>
        <w:t>2.</w:t>
      </w:r>
      <w:r>
        <w:rPr>
          <w:rFonts w:hint="eastAsia" w:ascii="仿宋" w:hAnsi="仿宋" w:eastAsia="仿宋" w:cs="仿宋"/>
          <w:sz w:val="32"/>
          <w:szCs w:val="32"/>
        </w:rPr>
        <w:t>在</w:t>
      </w:r>
      <w:r>
        <w:rPr>
          <w:rFonts w:hint="eastAsia" w:ascii="仿宋" w:hAnsi="仿宋" w:eastAsia="仿宋" w:cs="仿宋"/>
          <w:sz w:val="32"/>
          <w:szCs w:val="32"/>
          <w:lang w:eastAsia="zh-CN"/>
        </w:rPr>
        <w:t>合同期</w:t>
      </w:r>
      <w:r>
        <w:rPr>
          <w:rFonts w:hint="eastAsia" w:ascii="仿宋" w:hAnsi="仿宋" w:eastAsia="仿宋" w:cs="仿宋"/>
          <w:sz w:val="32"/>
          <w:szCs w:val="32"/>
        </w:rPr>
        <w:t>间项目产生的碳排放收益、绿电收益等权益100%归属</w:t>
      </w:r>
      <w:r>
        <w:rPr>
          <w:rFonts w:hint="eastAsia" w:ascii="仿宋" w:hAnsi="仿宋" w:eastAsia="仿宋" w:cs="仿宋"/>
          <w:sz w:val="32"/>
          <w:szCs w:val="32"/>
          <w:lang w:val="en-US" w:eastAsia="zh-CN"/>
        </w:rPr>
        <w:t>铜仁机场</w:t>
      </w:r>
      <w:r>
        <w:rPr>
          <w:rFonts w:hint="eastAsia" w:ascii="仿宋" w:hAnsi="仿宋" w:eastAsia="仿宋" w:cs="仿宋"/>
          <w:sz w:val="32"/>
          <w:szCs w:val="32"/>
        </w:rPr>
        <w:t>，</w:t>
      </w:r>
      <w:r>
        <w:rPr>
          <w:rFonts w:hint="eastAsia" w:ascii="仿宋" w:hAnsi="仿宋" w:eastAsia="仿宋" w:cs="仿宋"/>
          <w:sz w:val="32"/>
          <w:szCs w:val="32"/>
          <w:lang w:val="en-US" w:eastAsia="zh-CN"/>
        </w:rPr>
        <w:t>在项目立项、建设、运营期间，如争取到政府部门政策性资金</w:t>
      </w:r>
      <w:r>
        <w:rPr>
          <w:rFonts w:hint="eastAsia" w:ascii="仿宋" w:hAnsi="仿宋" w:eastAsia="仿宋" w:cs="仿宋"/>
          <w:sz w:val="32"/>
          <w:szCs w:val="32"/>
        </w:rPr>
        <w:t>支持，</w:t>
      </w:r>
      <w:r>
        <w:rPr>
          <w:rFonts w:hint="eastAsia" w:ascii="仿宋" w:hAnsi="仿宋" w:eastAsia="仿宋" w:cs="仿宋"/>
          <w:sz w:val="32"/>
          <w:szCs w:val="32"/>
          <w:lang w:val="en-US" w:eastAsia="zh-CN"/>
        </w:rPr>
        <w:t>铜仁机场与投建方按照五五比例分成</w:t>
      </w:r>
      <w:r>
        <w:rPr>
          <w:rFonts w:hint="eastAsia" w:ascii="仿宋" w:hAnsi="仿宋" w:eastAsia="仿宋" w:cs="仿宋"/>
          <w:sz w:val="32"/>
          <w:szCs w:val="32"/>
        </w:rPr>
        <w:t>。</w:t>
      </w:r>
    </w:p>
    <w:p w14:paraId="79F6D02D">
      <w:pPr>
        <w:spacing w:line="560" w:lineRule="exact"/>
        <w:ind w:firstLine="640" w:firstLineChars="200"/>
        <w:jc w:val="left"/>
        <w:rPr>
          <w:rFonts w:hint="eastAsia" w:ascii="仿宋" w:hAnsi="仿宋" w:eastAsia="仿宋" w:cs="仿宋"/>
          <w:sz w:val="32"/>
          <w:szCs w:val="32"/>
        </w:rPr>
      </w:pPr>
      <w:r>
        <w:rPr>
          <w:rFonts w:hint="eastAsia" w:ascii="仿宋" w:hAnsi="仿宋" w:eastAsia="仿宋" w:cs="仿宋"/>
          <w:color w:val="auto"/>
          <w:sz w:val="32"/>
          <w:szCs w:val="32"/>
          <w:lang w:val="en-US" w:eastAsia="zh-CN"/>
        </w:rPr>
        <w:t>3.</w:t>
      </w:r>
      <w:r>
        <w:rPr>
          <w:rFonts w:hint="eastAsia" w:ascii="仿宋" w:hAnsi="仿宋" w:eastAsia="仿宋" w:cs="仿宋"/>
          <w:color w:val="auto"/>
          <w:sz w:val="32"/>
          <w:szCs w:val="32"/>
          <w:lang w:eastAsia="zh-CN"/>
        </w:rPr>
        <w:t>铜仁机场</w:t>
      </w:r>
      <w:r>
        <w:rPr>
          <w:rFonts w:hint="eastAsia" w:ascii="仿宋" w:hAnsi="仿宋" w:eastAsia="仿宋" w:cs="仿宋"/>
          <w:color w:val="auto"/>
          <w:sz w:val="32"/>
          <w:szCs w:val="32"/>
        </w:rPr>
        <w:t>所提及的技术要求和供货范围</w:t>
      </w:r>
      <w:r>
        <w:rPr>
          <w:rFonts w:hint="eastAsia" w:ascii="仿宋" w:hAnsi="仿宋" w:eastAsia="仿宋" w:cs="仿宋"/>
          <w:color w:val="auto"/>
          <w:sz w:val="32"/>
          <w:szCs w:val="32"/>
          <w:lang w:eastAsia="zh-CN"/>
        </w:rPr>
        <w:t>须按照现行行业内最高</w:t>
      </w:r>
      <w:r>
        <w:rPr>
          <w:rFonts w:hint="eastAsia" w:ascii="仿宋" w:hAnsi="仿宋" w:eastAsia="仿宋" w:cs="仿宋"/>
          <w:color w:val="auto"/>
          <w:sz w:val="32"/>
          <w:szCs w:val="32"/>
        </w:rPr>
        <w:t>限度的要求，并未对一切技术细节及要求做出规定，也未充分地详述有关标准和规范的条文，</w:t>
      </w:r>
      <w:r>
        <w:rPr>
          <w:rFonts w:hint="eastAsia" w:ascii="仿宋" w:hAnsi="仿宋" w:eastAsia="仿宋" w:cs="仿宋"/>
          <w:color w:val="auto"/>
          <w:sz w:val="32"/>
          <w:szCs w:val="32"/>
          <w:lang w:eastAsia="zh-CN"/>
        </w:rPr>
        <w:t>投建方</w:t>
      </w:r>
      <w:r>
        <w:rPr>
          <w:rFonts w:hint="eastAsia" w:ascii="仿宋" w:hAnsi="仿宋" w:eastAsia="仿宋" w:cs="仿宋"/>
          <w:color w:val="auto"/>
          <w:sz w:val="32"/>
          <w:szCs w:val="32"/>
        </w:rPr>
        <w:t>应提供符合</w:t>
      </w:r>
      <w:r>
        <w:rPr>
          <w:rFonts w:hint="eastAsia" w:ascii="仿宋" w:hAnsi="仿宋" w:eastAsia="仿宋" w:cs="仿宋"/>
          <w:color w:val="auto"/>
          <w:sz w:val="32"/>
          <w:szCs w:val="32"/>
          <w:lang w:eastAsia="zh-CN"/>
        </w:rPr>
        <w:t>招商</w:t>
      </w:r>
      <w:r>
        <w:rPr>
          <w:rFonts w:hint="eastAsia" w:ascii="仿宋" w:hAnsi="仿宋" w:eastAsia="仿宋" w:cs="仿宋"/>
          <w:color w:val="auto"/>
          <w:sz w:val="32"/>
          <w:szCs w:val="32"/>
        </w:rPr>
        <w:t>文件和相关标准的功能齐全的优质产品及服务。</w:t>
      </w:r>
      <w:r>
        <w:rPr>
          <w:rFonts w:hint="eastAsia" w:ascii="仿宋" w:hAnsi="仿宋" w:eastAsia="仿宋" w:cs="仿宋"/>
          <w:sz w:val="32"/>
          <w:szCs w:val="32"/>
          <w:lang w:eastAsia="zh-CN"/>
        </w:rPr>
        <w:t>投建方</w:t>
      </w:r>
      <w:r>
        <w:rPr>
          <w:rFonts w:hint="eastAsia" w:ascii="仿宋" w:hAnsi="仿宋" w:eastAsia="仿宋" w:cs="仿宋"/>
          <w:sz w:val="32"/>
          <w:szCs w:val="32"/>
        </w:rPr>
        <w:t>应对太阳能光伏电站系统提出优化的布置方案，经</w:t>
      </w:r>
      <w:r>
        <w:rPr>
          <w:rFonts w:hint="eastAsia" w:ascii="仿宋" w:hAnsi="仿宋" w:eastAsia="仿宋" w:cs="仿宋"/>
          <w:sz w:val="32"/>
          <w:szCs w:val="32"/>
          <w:lang w:eastAsia="zh-CN"/>
        </w:rPr>
        <w:t>铜仁机场</w:t>
      </w:r>
      <w:r>
        <w:rPr>
          <w:rFonts w:hint="eastAsia" w:ascii="仿宋" w:hAnsi="仿宋" w:eastAsia="仿宋" w:cs="仿宋"/>
          <w:sz w:val="32"/>
          <w:szCs w:val="32"/>
        </w:rPr>
        <w:t>确认后采用。</w:t>
      </w:r>
      <w:r>
        <w:rPr>
          <w:rFonts w:hint="eastAsia" w:ascii="仿宋" w:hAnsi="仿宋" w:eastAsia="仿宋" w:cs="仿宋"/>
          <w:sz w:val="32"/>
          <w:szCs w:val="32"/>
          <w:lang w:eastAsia="zh-CN"/>
        </w:rPr>
        <w:t>投建方</w:t>
      </w:r>
      <w:r>
        <w:rPr>
          <w:rFonts w:hint="eastAsia" w:ascii="仿宋" w:hAnsi="仿宋" w:eastAsia="仿宋" w:cs="仿宋"/>
          <w:sz w:val="32"/>
          <w:szCs w:val="32"/>
        </w:rPr>
        <w:t>对系统的拟定、设备的选择和布置负责，</w:t>
      </w:r>
      <w:r>
        <w:rPr>
          <w:rFonts w:hint="eastAsia" w:ascii="仿宋" w:hAnsi="仿宋" w:eastAsia="仿宋" w:cs="仿宋"/>
          <w:sz w:val="32"/>
          <w:szCs w:val="32"/>
          <w:lang w:eastAsia="zh-CN"/>
        </w:rPr>
        <w:t>铜仁机场</w:t>
      </w:r>
      <w:r>
        <w:rPr>
          <w:rFonts w:hint="eastAsia" w:ascii="仿宋" w:hAnsi="仿宋" w:eastAsia="仿宋" w:cs="仿宋"/>
          <w:sz w:val="32"/>
          <w:szCs w:val="32"/>
        </w:rPr>
        <w:t>的要求并不解除</w:t>
      </w:r>
      <w:r>
        <w:rPr>
          <w:rFonts w:hint="eastAsia" w:ascii="仿宋" w:hAnsi="仿宋" w:eastAsia="仿宋" w:cs="仿宋"/>
          <w:sz w:val="32"/>
          <w:szCs w:val="32"/>
          <w:lang w:eastAsia="zh-CN"/>
        </w:rPr>
        <w:t>投建方</w:t>
      </w:r>
      <w:r>
        <w:rPr>
          <w:rFonts w:hint="eastAsia" w:ascii="仿宋" w:hAnsi="仿宋" w:eastAsia="仿宋" w:cs="仿宋"/>
          <w:sz w:val="32"/>
          <w:szCs w:val="32"/>
        </w:rPr>
        <w:t>的责任。</w:t>
      </w:r>
    </w:p>
    <w:p w14:paraId="7E7BE9C2">
      <w:pPr>
        <w:pStyle w:val="7"/>
        <w:spacing w:line="560" w:lineRule="exact"/>
        <w:ind w:firstLine="482"/>
        <w:rPr>
          <w:rFonts w:hint="default"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4.投建方须保证项目实施单位资质条件符合国家法律法规要求，包括但不限于：</w:t>
      </w:r>
    </w:p>
    <w:p w14:paraId="06D47A5E">
      <w:pPr>
        <w:pStyle w:val="7"/>
        <w:spacing w:line="560" w:lineRule="exact"/>
        <w:ind w:firstLine="482"/>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1）项目建设结构安全鉴定单位具有相应资质；</w:t>
      </w:r>
    </w:p>
    <w:p w14:paraId="7B7E1521">
      <w:pPr>
        <w:pStyle w:val="7"/>
        <w:spacing w:line="560" w:lineRule="exact"/>
        <w:ind w:firstLine="482"/>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2）工程设计综合甲级资质；</w:t>
      </w:r>
    </w:p>
    <w:p w14:paraId="1753010B">
      <w:pPr>
        <w:pStyle w:val="7"/>
        <w:spacing w:line="560" w:lineRule="exact"/>
        <w:ind w:firstLine="482"/>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3）电力施工总承包贰级及以上资质；</w:t>
      </w:r>
    </w:p>
    <w:p w14:paraId="792B8463">
      <w:pPr>
        <w:pStyle w:val="7"/>
        <w:spacing w:line="560" w:lineRule="exact"/>
        <w:ind w:firstLine="482"/>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4）监理单位具有乙级及以上资质；</w:t>
      </w:r>
    </w:p>
    <w:p w14:paraId="04DFD2AC">
      <w:pPr>
        <w:pStyle w:val="4"/>
        <w:keepNext/>
        <w:keepLines/>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楷体" w:hAnsi="楷体" w:eastAsia="楷体" w:cs="楷体"/>
          <w:b w:val="0"/>
          <w:bCs w:val="0"/>
          <w:sz w:val="32"/>
          <w:szCs w:val="32"/>
          <w:lang w:val="zh-CN" w:eastAsia="zh-CN"/>
        </w:rPr>
      </w:pPr>
      <w:bookmarkStart w:id="246" w:name="_Toc22713"/>
      <w:bookmarkStart w:id="247" w:name="_Toc19661"/>
      <w:bookmarkStart w:id="248" w:name="_Toc6330"/>
      <w:bookmarkStart w:id="249" w:name="_Toc31863"/>
      <w:bookmarkStart w:id="250" w:name="_Toc29093"/>
      <w:bookmarkStart w:id="251" w:name="_Toc3468"/>
      <w:bookmarkStart w:id="252" w:name="_Toc22249"/>
      <w:bookmarkStart w:id="253" w:name="_Toc17760"/>
      <w:bookmarkStart w:id="254" w:name="_Toc7141"/>
      <w:bookmarkStart w:id="255" w:name="_Toc5824"/>
      <w:bookmarkStart w:id="256" w:name="_Toc18492"/>
      <w:bookmarkStart w:id="257" w:name="_Toc12263"/>
      <w:r>
        <w:rPr>
          <w:rFonts w:hint="eastAsia" w:ascii="楷体" w:hAnsi="楷体" w:eastAsia="楷体" w:cs="楷体"/>
          <w:b w:val="0"/>
          <w:bCs w:val="0"/>
          <w:sz w:val="32"/>
          <w:szCs w:val="32"/>
          <w:lang w:val="zh-CN" w:eastAsia="zh-CN"/>
        </w:rPr>
        <w:t>（二）工作范围</w:t>
      </w:r>
      <w:bookmarkEnd w:id="246"/>
      <w:bookmarkEnd w:id="247"/>
      <w:bookmarkEnd w:id="248"/>
      <w:bookmarkEnd w:id="249"/>
      <w:bookmarkEnd w:id="250"/>
      <w:bookmarkEnd w:id="251"/>
      <w:bookmarkEnd w:id="252"/>
      <w:bookmarkEnd w:id="253"/>
      <w:bookmarkEnd w:id="254"/>
      <w:bookmarkEnd w:id="255"/>
      <w:bookmarkEnd w:id="256"/>
      <w:bookmarkEnd w:id="257"/>
    </w:p>
    <w:p w14:paraId="475FCA48">
      <w:pPr>
        <w:pStyle w:val="7"/>
        <w:spacing w:line="560" w:lineRule="exact"/>
        <w:ind w:firstLine="482"/>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1.投建方的工作范围包括项目投资、申报手续、勘测、设计、设备和材料采购、建筑及安装工程施工、项目管理、调试、验收、培训、交付生产、性能质量保证、合同期内整个系统的运行维护服务等内容。投建方对构成光伏发电系统的成套设备（含辅助设备）、附件等负有全部责任。</w:t>
      </w:r>
    </w:p>
    <w:p w14:paraId="3D94BE10">
      <w:pPr>
        <w:pStyle w:val="7"/>
        <w:spacing w:line="560" w:lineRule="exact"/>
        <w:ind w:firstLine="482"/>
        <w:jc w:val="left"/>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2.建设范围</w:t>
      </w:r>
    </w:p>
    <w:p w14:paraId="76937ED2">
      <w:pPr>
        <w:pStyle w:val="7"/>
        <w:spacing w:line="240" w:lineRule="auto"/>
        <w:ind w:firstLine="482"/>
        <w:jc w:val="left"/>
        <w:rPr>
          <w:rFonts w:hint="eastAsia" w:ascii="宋体" w:hAnsi="宋体" w:cs="宋体"/>
        </w:rPr>
      </w:pPr>
      <w:r>
        <w:rPr>
          <w:rFonts w:hint="eastAsia" w:ascii="仿宋" w:hAnsi="仿宋" w:eastAsia="仿宋" w:cs="仿宋"/>
          <w:kern w:val="2"/>
          <w:sz w:val="32"/>
          <w:szCs w:val="32"/>
          <w:lang w:val="en-US" w:eastAsia="zh-CN" w:bidi="ar-SA"/>
        </w:rPr>
        <w:t xml:space="preserve">根据如下图所示的建设区域，占地面积约690亩，具体可有效利用面积由投建方实际勘测为准，光伏项目整体规划预计为36MW，满足铜仁机场中长期用电需求。  </w:t>
      </w:r>
      <w:r>
        <w:rPr>
          <w:position w:val="-116"/>
        </w:rPr>
        <w:drawing>
          <wp:inline distT="0" distB="0" distL="0" distR="0">
            <wp:extent cx="5209540" cy="4248150"/>
            <wp:effectExtent l="0" t="0" r="2540" b="3810"/>
            <wp:docPr id="8" name="IM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 8"/>
                    <pic:cNvPicPr>
                      <a:picLocks noChangeAspect="1"/>
                    </pic:cNvPicPr>
                  </pic:nvPicPr>
                  <pic:blipFill>
                    <a:blip r:embed="rId7"/>
                    <a:stretch>
                      <a:fillRect/>
                    </a:stretch>
                  </pic:blipFill>
                  <pic:spPr>
                    <a:xfrm>
                      <a:off x="0" y="0"/>
                      <a:ext cx="5209540" cy="4248150"/>
                    </a:xfrm>
                    <a:prstGeom prst="rect">
                      <a:avLst/>
                    </a:prstGeom>
                  </pic:spPr>
                </pic:pic>
              </a:graphicData>
            </a:graphic>
          </wp:inline>
        </w:drawing>
      </w:r>
    </w:p>
    <w:p w14:paraId="10E043DC">
      <w:pPr>
        <w:spacing w:line="560" w:lineRule="exact"/>
        <w:ind w:firstLine="640" w:firstLineChars="200"/>
        <w:jc w:val="left"/>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3.设计范围</w:t>
      </w:r>
    </w:p>
    <w:p w14:paraId="3EC1E487">
      <w:pPr>
        <w:spacing w:line="560" w:lineRule="exact"/>
        <w:ind w:firstLine="640" w:firstLineChars="200"/>
        <w:jc w:val="left"/>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设计均为投建方的范围，设计阶段为施工图设计阶段的设计，以及编制竣工图。</w:t>
      </w:r>
    </w:p>
    <w:p w14:paraId="03A13687">
      <w:pPr>
        <w:numPr>
          <w:ilvl w:val="0"/>
          <w:numId w:val="0"/>
        </w:numPr>
        <w:spacing w:line="560" w:lineRule="exact"/>
        <w:ind w:firstLine="640" w:firstLineChars="200"/>
        <w:jc w:val="left"/>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4.施工范围</w:t>
      </w:r>
    </w:p>
    <w:p w14:paraId="25BDF73B">
      <w:pPr>
        <w:numPr>
          <w:ilvl w:val="0"/>
          <w:numId w:val="0"/>
        </w:numPr>
        <w:spacing w:line="560" w:lineRule="exact"/>
        <w:ind w:firstLine="640" w:firstLineChars="200"/>
        <w:jc w:val="left"/>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投建方设计范围内，建设范围以内全部建设安装工程为投建方的施工及调试范围。施工范围主要包含但不限于以下内容：光伏组件、逆变器、开关柜安装、通信和监控系统安装、防雷接地安装及并网接入系统等工程。</w:t>
      </w:r>
    </w:p>
    <w:p w14:paraId="3F2F0B1E">
      <w:pPr>
        <w:numPr>
          <w:ilvl w:val="0"/>
          <w:numId w:val="0"/>
        </w:numPr>
        <w:spacing w:line="560" w:lineRule="exact"/>
        <w:ind w:leftChars="0" w:firstLine="640" w:firstLineChars="200"/>
        <w:jc w:val="left"/>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5.运行维护范围</w:t>
      </w:r>
    </w:p>
    <w:p w14:paraId="22C9DE03">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leftChars="0" w:firstLine="640" w:firstLineChars="200"/>
        <w:jc w:val="left"/>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光伏电站日常技术服务内容主要包括：太阳能电池方阵、逆变器、箱变、防雷、接地、送变电设备、监控、保护、消防等设备及系统的运行、日常维护、消缺等工作；光伏电站厂区内的环境卫生工作。附属设备设施的维修、日常维护及清洁、消缺等工作。</w:t>
      </w:r>
    </w:p>
    <w:p w14:paraId="3B20365D">
      <w:pPr>
        <w:numPr>
          <w:ilvl w:val="0"/>
          <w:numId w:val="0"/>
        </w:numPr>
        <w:spacing w:line="560" w:lineRule="exact"/>
        <w:ind w:firstLine="640" w:firstLineChars="200"/>
        <w:jc w:val="left"/>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6.项目工期要求</w:t>
      </w:r>
    </w:p>
    <w:p w14:paraId="09258DFC">
      <w:pPr>
        <w:numPr>
          <w:ilvl w:val="0"/>
          <w:numId w:val="0"/>
        </w:numPr>
        <w:spacing w:line="560" w:lineRule="exact"/>
        <w:ind w:firstLine="640" w:firstLineChars="200"/>
        <w:jc w:val="left"/>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签订合同后不超过270个日历日内完成项目建设以及并网工作。</w:t>
      </w:r>
    </w:p>
    <w:p w14:paraId="52CD90B5">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jc w:val="left"/>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7.光玻粉尘及烟气对光伏影响</w:t>
      </w:r>
    </w:p>
    <w:p w14:paraId="56A78256">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jc w:val="left"/>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投建方自行考虑光玻粉尘对光伏组件的影响与处理措施。</w:t>
      </w:r>
    </w:p>
    <w:p w14:paraId="04080228">
      <w:pPr>
        <w:numPr>
          <w:ilvl w:val="0"/>
          <w:numId w:val="0"/>
        </w:numPr>
        <w:spacing w:line="560" w:lineRule="exact"/>
        <w:ind w:firstLine="640" w:firstLineChars="200"/>
        <w:jc w:val="left"/>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8.项目进场及退出机制</w:t>
      </w:r>
    </w:p>
    <w:p w14:paraId="592FDC06">
      <w:pPr>
        <w:numPr>
          <w:ilvl w:val="0"/>
          <w:numId w:val="0"/>
        </w:numPr>
        <w:spacing w:line="560" w:lineRule="exact"/>
        <w:ind w:firstLine="640" w:firstLineChars="200"/>
        <w:jc w:val="left"/>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1）投建方须在项目实施前须提供具备相关专业资质单位出具的安全评估报告，须满足民航包括但不限于在净空、电磁环境保护、外来物防治、光污染等机场安全管理方面相关要求，且项目进场施工管理方案须经铜仁机场同意后方能进行建设。</w:t>
      </w:r>
    </w:p>
    <w:p w14:paraId="141E78F2">
      <w:pPr>
        <w:numPr>
          <w:ilvl w:val="0"/>
          <w:numId w:val="0"/>
        </w:numPr>
        <w:spacing w:line="560" w:lineRule="exact"/>
        <w:ind w:firstLine="640" w:firstLineChars="200"/>
        <w:jc w:val="both"/>
        <w:rPr>
          <w:rFonts w:hint="eastAsia" w:ascii="仿宋" w:hAnsi="仿宋" w:eastAsia="仿宋" w:cs="仿宋"/>
          <w:color w:val="auto"/>
          <w:kern w:val="2"/>
          <w:sz w:val="32"/>
          <w:szCs w:val="32"/>
          <w:lang w:val="en-US" w:eastAsia="zh-CN" w:bidi="ar-SA"/>
        </w:rPr>
      </w:pPr>
      <w:r>
        <w:rPr>
          <w:rFonts w:hint="eastAsia" w:ascii="仿宋" w:hAnsi="仿宋" w:eastAsia="仿宋" w:cs="仿宋"/>
          <w:color w:val="auto"/>
          <w:kern w:val="2"/>
          <w:sz w:val="32"/>
          <w:szCs w:val="32"/>
          <w:highlight w:val="none"/>
          <w:lang w:val="en-US" w:eastAsia="zh-CN" w:bidi="ar-SA"/>
        </w:rPr>
        <w:t>2）项目并网投用后，</w:t>
      </w:r>
      <w:r>
        <w:rPr>
          <w:rFonts w:hint="eastAsia" w:ascii="仿宋" w:hAnsi="仿宋" w:eastAsia="仿宋" w:cs="仿宋"/>
          <w:color w:val="auto"/>
          <w:kern w:val="2"/>
          <w:sz w:val="32"/>
          <w:szCs w:val="32"/>
          <w:lang w:val="en-US" w:eastAsia="zh-CN" w:bidi="ar-SA"/>
        </w:rPr>
        <w:t>对民航运输安全运行造成影响，经整改评估仍不满足民航运输安全运行标准的，须立即停止运行或撤除，铜仁机场不承担由此产生的任何违约责任和其他相关责任。</w:t>
      </w:r>
    </w:p>
    <w:p w14:paraId="2C8ABD77">
      <w:pPr>
        <w:numPr>
          <w:ilvl w:val="0"/>
          <w:numId w:val="0"/>
        </w:numPr>
        <w:spacing w:line="560" w:lineRule="exact"/>
        <w:ind w:firstLine="640" w:firstLineChars="200"/>
        <w:jc w:val="left"/>
        <w:rPr>
          <w:rFonts w:hint="eastAsia" w:ascii="仿宋" w:hAnsi="仿宋" w:eastAsia="仿宋" w:cs="仿宋"/>
          <w:kern w:val="2"/>
          <w:sz w:val="32"/>
          <w:szCs w:val="32"/>
          <w:highlight w:val="yellow"/>
          <w:lang w:val="en-US" w:eastAsia="zh-CN" w:bidi="ar-SA"/>
        </w:rPr>
      </w:pPr>
    </w:p>
    <w:p w14:paraId="28625852">
      <w:pPr>
        <w:numPr>
          <w:ilvl w:val="0"/>
          <w:numId w:val="0"/>
        </w:numPr>
        <w:spacing w:line="560" w:lineRule="exact"/>
        <w:ind w:firstLine="640" w:firstLineChars="200"/>
        <w:jc w:val="both"/>
        <w:rPr>
          <w:rFonts w:hint="eastAsia" w:ascii="仿宋" w:hAnsi="仿宋" w:eastAsia="仿宋" w:cs="仿宋"/>
          <w:kern w:val="2"/>
          <w:sz w:val="32"/>
          <w:szCs w:val="32"/>
          <w:highlight w:val="none"/>
          <w:lang w:val="en-US" w:eastAsia="zh-CN" w:bidi="ar-SA"/>
        </w:rPr>
      </w:pPr>
      <w:r>
        <w:rPr>
          <w:rFonts w:hint="eastAsia" w:ascii="仿宋" w:hAnsi="仿宋" w:eastAsia="仿宋" w:cs="仿宋"/>
          <w:kern w:val="2"/>
          <w:sz w:val="32"/>
          <w:szCs w:val="32"/>
          <w:highlight w:val="none"/>
          <w:lang w:val="en-US" w:eastAsia="zh-CN" w:bidi="ar-SA"/>
        </w:rPr>
        <w:t>3）</w:t>
      </w:r>
      <w:r>
        <w:rPr>
          <w:rFonts w:hint="eastAsia" w:ascii="仿宋" w:hAnsi="仿宋" w:eastAsia="仿宋" w:cs="仿宋"/>
          <w:color w:val="auto"/>
          <w:sz w:val="32"/>
          <w:szCs w:val="32"/>
          <w:highlight w:val="none"/>
          <w:lang w:val="en-US" w:eastAsia="zh-CN"/>
        </w:rPr>
        <w:t>合作期限20年，自合同签订之日起算。</w:t>
      </w:r>
      <w:r>
        <w:rPr>
          <w:rFonts w:hint="eastAsia" w:ascii="仿宋" w:hAnsi="仿宋" w:eastAsia="仿宋" w:cs="仿宋"/>
          <w:color w:val="auto"/>
          <w:kern w:val="2"/>
          <w:sz w:val="32"/>
          <w:szCs w:val="32"/>
          <w:highlight w:val="none"/>
          <w:lang w:val="en-US" w:eastAsia="zh-CN" w:bidi="ar-SA"/>
        </w:rPr>
        <w:t>合同期内如因地方政府规划或机场改扩建等不可抗力因素导致本项目土地不能使用时，投建方须无条件退出并撤除投入的全部设施设备，铜仁机场不承担任何违约责任和其他相关责任，投建方自行与相关部门协商。</w:t>
      </w:r>
    </w:p>
    <w:p w14:paraId="2C494963">
      <w:pPr>
        <w:numPr>
          <w:ilvl w:val="0"/>
          <w:numId w:val="0"/>
        </w:numPr>
        <w:spacing w:line="560" w:lineRule="exact"/>
        <w:ind w:firstLine="640" w:firstLineChars="200"/>
        <w:jc w:val="both"/>
        <w:rPr>
          <w:rFonts w:hint="default"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4）合同期内，因投建方因素导致项目不能继续运营并在运营过程中对投建方造成不良社会影响及经济损失的，铜仁机场可根据实际情况要求投建方承担赔偿或终止合作。终止合同后，投建方须无条件退出并撤除投入的全部设施设备。</w:t>
      </w:r>
    </w:p>
    <w:p w14:paraId="159D0305">
      <w:pPr>
        <w:numPr>
          <w:ilvl w:val="0"/>
          <w:numId w:val="0"/>
        </w:numPr>
        <w:spacing w:line="560" w:lineRule="exact"/>
        <w:ind w:firstLine="640" w:firstLineChars="200"/>
        <w:jc w:val="both"/>
        <w:rPr>
          <w:rFonts w:hint="default"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5）合同期满，如双方无续租意向，</w:t>
      </w:r>
      <w:r>
        <w:rPr>
          <w:rFonts w:hint="eastAsia" w:ascii="仿宋" w:hAnsi="仿宋" w:eastAsia="仿宋" w:cs="仿宋"/>
          <w:sz w:val="32"/>
          <w:szCs w:val="32"/>
          <w:highlight w:val="none"/>
        </w:rPr>
        <w:t>项目</w:t>
      </w:r>
      <w:r>
        <w:rPr>
          <w:rFonts w:hint="eastAsia" w:ascii="仿宋" w:hAnsi="仿宋" w:eastAsia="仿宋" w:cs="仿宋"/>
          <w:sz w:val="32"/>
          <w:szCs w:val="32"/>
          <w:highlight w:val="none"/>
          <w:lang w:eastAsia="zh-CN"/>
        </w:rPr>
        <w:t>投入设施设备</w:t>
      </w:r>
      <w:r>
        <w:rPr>
          <w:rFonts w:hint="eastAsia" w:ascii="仿宋" w:hAnsi="仿宋" w:eastAsia="仿宋" w:cs="仿宋"/>
          <w:sz w:val="32"/>
          <w:szCs w:val="32"/>
          <w:highlight w:val="none"/>
        </w:rPr>
        <w:t>整体无偿移交给</w:t>
      </w:r>
      <w:r>
        <w:rPr>
          <w:rFonts w:hint="eastAsia" w:ascii="仿宋" w:hAnsi="仿宋" w:eastAsia="仿宋" w:cs="仿宋"/>
          <w:sz w:val="32"/>
          <w:szCs w:val="32"/>
          <w:highlight w:val="none"/>
          <w:lang w:eastAsia="zh-CN"/>
        </w:rPr>
        <w:t>铜仁机场。</w:t>
      </w:r>
    </w:p>
    <w:p w14:paraId="690D6E74">
      <w:pPr>
        <w:pStyle w:val="4"/>
        <w:keepNext/>
        <w:keepLines/>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楷体" w:hAnsi="楷体" w:eastAsia="楷体" w:cs="楷体"/>
          <w:b w:val="0"/>
          <w:bCs w:val="0"/>
          <w:sz w:val="32"/>
          <w:szCs w:val="32"/>
          <w:lang w:val="zh-CN" w:eastAsia="zh-CN"/>
        </w:rPr>
      </w:pPr>
      <w:bookmarkStart w:id="258" w:name="_Toc22805"/>
      <w:bookmarkStart w:id="259" w:name="_Toc20018"/>
      <w:bookmarkStart w:id="260" w:name="_Toc28794"/>
      <w:bookmarkStart w:id="261" w:name="_Toc4142"/>
      <w:bookmarkStart w:id="262" w:name="_Toc10829"/>
      <w:bookmarkStart w:id="263" w:name="_Toc1046"/>
      <w:bookmarkStart w:id="264" w:name="_Toc30148"/>
      <w:bookmarkStart w:id="265" w:name="_Toc17380"/>
      <w:bookmarkStart w:id="266" w:name="_Toc29590"/>
      <w:bookmarkStart w:id="267" w:name="_Toc23146"/>
      <w:bookmarkStart w:id="268" w:name="_Toc7887"/>
      <w:bookmarkStart w:id="269" w:name="_Toc25574"/>
      <w:r>
        <w:rPr>
          <w:rFonts w:hint="eastAsia" w:ascii="楷体" w:hAnsi="楷体" w:eastAsia="楷体" w:cs="楷体"/>
          <w:b w:val="0"/>
          <w:bCs w:val="0"/>
          <w:sz w:val="32"/>
          <w:szCs w:val="32"/>
          <w:lang w:val="zh-CN" w:eastAsia="zh-CN"/>
        </w:rPr>
        <w:t>（三）主要设备技术要求</w:t>
      </w:r>
      <w:bookmarkEnd w:id="258"/>
      <w:bookmarkEnd w:id="259"/>
      <w:bookmarkEnd w:id="260"/>
      <w:bookmarkEnd w:id="261"/>
      <w:bookmarkEnd w:id="262"/>
      <w:bookmarkEnd w:id="263"/>
      <w:bookmarkEnd w:id="264"/>
      <w:bookmarkEnd w:id="265"/>
      <w:bookmarkEnd w:id="266"/>
      <w:bookmarkEnd w:id="267"/>
      <w:bookmarkEnd w:id="268"/>
      <w:bookmarkEnd w:id="269"/>
    </w:p>
    <w:p w14:paraId="45DEA606">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jc w:val="left"/>
        <w:textAlignment w:val="auto"/>
        <w:rPr>
          <w:rFonts w:hint="eastAsia" w:ascii="仿宋" w:hAnsi="仿宋" w:eastAsia="仿宋" w:cs="仿宋"/>
          <w:kern w:val="2"/>
          <w:sz w:val="32"/>
          <w:szCs w:val="32"/>
          <w:lang w:val="en-US" w:eastAsia="zh-CN" w:bidi="ar-SA"/>
        </w:rPr>
      </w:pPr>
      <w:bookmarkStart w:id="270" w:name="_Toc4887"/>
      <w:bookmarkStart w:id="271" w:name="_Toc13080"/>
      <w:r>
        <w:rPr>
          <w:rFonts w:hint="eastAsia" w:ascii="仿宋" w:hAnsi="仿宋" w:eastAsia="仿宋" w:cs="仿宋"/>
          <w:kern w:val="2"/>
          <w:sz w:val="32"/>
          <w:szCs w:val="32"/>
          <w:lang w:val="en-US" w:eastAsia="zh-CN" w:bidi="ar-SA"/>
        </w:rPr>
        <w:t>1.技术规范</w:t>
      </w:r>
      <w:bookmarkEnd w:id="270"/>
      <w:bookmarkEnd w:id="271"/>
    </w:p>
    <w:p w14:paraId="3B9215E1">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jc w:val="left"/>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分布式光伏工程标准、建设规范、验收标准等必须完全满足所有中华人民共和国的条例及规范（以下标准或规范有最新版本的，按照最新版本执行），包括但不限于。</w:t>
      </w:r>
    </w:p>
    <w:p w14:paraId="59E14455">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jc w:val="left"/>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Q/GDW 480-2010《分布式电源接入电网技术规定》</w:t>
      </w:r>
    </w:p>
    <w:p w14:paraId="720780C4">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jc w:val="left"/>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Q/GDW 617-2011《光伏电站接入电网技术规定》</w:t>
      </w:r>
    </w:p>
    <w:p w14:paraId="5700F871">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jc w:val="left"/>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GB/T 50795-2012《光伏发电工程施工组织设计规范》</w:t>
      </w:r>
    </w:p>
    <w:p w14:paraId="0E08A8DB">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jc w:val="left"/>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GB/T 50796-2012《光伏发电工程验收规范》</w:t>
      </w:r>
    </w:p>
    <w:p w14:paraId="786EA28E">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jc w:val="left"/>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GB/T 31366-2015《光伏发电站监控系统技术要求》</w:t>
      </w:r>
    </w:p>
    <w:p w14:paraId="546754F9">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jc w:val="left"/>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GB/T 50866-2013《光伏电站接入电力系统设计规范》</w:t>
      </w:r>
    </w:p>
    <w:p w14:paraId="1E1E2714">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jc w:val="left"/>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GB50797-2012《光伏发电站设计规范》</w:t>
      </w:r>
    </w:p>
    <w:p w14:paraId="55D7F53B">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jc w:val="left"/>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GB50794-2012《光伏发电站施工规范》</w:t>
      </w:r>
    </w:p>
    <w:p w14:paraId="49781C3A">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jc w:val="left"/>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GB/T19939-2005《光伏系统并网技术要求》</w:t>
      </w:r>
    </w:p>
    <w:p w14:paraId="0D7CB3BB">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jc w:val="left"/>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JGJ203-2010《民用建筑太阳能光伏发电系统应用技术规范》</w:t>
      </w:r>
    </w:p>
    <w:p w14:paraId="26B0BDA7">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jc w:val="left"/>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GB50345-2012《屋面工程技术规范》</w:t>
      </w:r>
    </w:p>
    <w:p w14:paraId="7984E7AB">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jc w:val="left"/>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GB50981-2014《建筑机电工程抗震设计规范》</w:t>
      </w:r>
    </w:p>
    <w:p w14:paraId="432FCE3F">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jc w:val="left"/>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GB51348-2019《民用建筑电气设计标准》</w:t>
      </w:r>
    </w:p>
    <w:p w14:paraId="5A58E248">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jc w:val="left"/>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GB/T 14549《电能质量公用电网谐波》</w:t>
      </w:r>
    </w:p>
    <w:p w14:paraId="4B6EE631">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jc w:val="left"/>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GB/T 15543《电能质量三相电压不平衡》</w:t>
      </w:r>
    </w:p>
    <w:p w14:paraId="5103B7C8">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jc w:val="left"/>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GB 50009-2012《建筑结构荷载规范》</w:t>
      </w:r>
    </w:p>
    <w:p w14:paraId="615CD2DA">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jc w:val="left"/>
        <w:textAlignment w:val="auto"/>
        <w:rPr>
          <w:rFonts w:hint="eastAsia" w:ascii="仿宋" w:hAnsi="仿宋" w:eastAsia="仿宋" w:cs="仿宋"/>
          <w:kern w:val="2"/>
          <w:sz w:val="32"/>
          <w:szCs w:val="32"/>
          <w:lang w:val="en-US" w:eastAsia="zh-CN" w:bidi="ar-SA"/>
        </w:rPr>
      </w:pPr>
      <w:bookmarkStart w:id="272" w:name="_Toc6284"/>
      <w:bookmarkStart w:id="273" w:name="_Toc2680"/>
      <w:r>
        <w:rPr>
          <w:rFonts w:hint="eastAsia" w:ascii="仿宋" w:hAnsi="仿宋" w:eastAsia="仿宋" w:cs="仿宋"/>
          <w:kern w:val="2"/>
          <w:sz w:val="32"/>
          <w:szCs w:val="32"/>
          <w:lang w:val="en-US" w:eastAsia="zh-CN" w:bidi="ar-SA"/>
        </w:rPr>
        <w:t>2.光伏组件技术要求</w:t>
      </w:r>
      <w:bookmarkEnd w:id="272"/>
      <w:bookmarkEnd w:id="273"/>
    </w:p>
    <w:p w14:paraId="66036C4E">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jc w:val="left"/>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1）组件效率：＞20%。</w:t>
      </w:r>
    </w:p>
    <w:p w14:paraId="27F6903B">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jc w:val="left"/>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2）单位能量密度：可安装光伏板区域投影面积内不小于200W/m2。</w:t>
      </w:r>
    </w:p>
    <w:p w14:paraId="36705DC6">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jc w:val="left"/>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3）寿命及衰减：组件的使用寿命不低于25年，具有25年线性功率质保。太阳能电池组件防护等级不低于IP65，接线盒防护等级不低于IP68，确保在25年内在当地自然条件下不致破坏。投建方所供组电池组件需具备一定的抗潮湿能力，组件在雨、</w:t>
      </w:r>
      <w:r>
        <w:rPr>
          <w:rFonts w:hint="eastAsia" w:ascii="仿宋" w:hAnsi="仿宋" w:eastAsia="仿宋" w:cs="仿宋"/>
          <w:kern w:val="2"/>
          <w:sz w:val="32"/>
          <w:szCs w:val="32"/>
          <w:highlight w:val="none"/>
          <w:lang w:val="en-US" w:eastAsia="zh-CN" w:bidi="ar-SA"/>
        </w:rPr>
        <w:t>雾、露水或融雪的湿气的环境下，组件能正常工作，绝缘性能满足要求，不允许出现漏电现象，湿漏电流试验需满足IEC61215 10.18条款相关规定，如组件安装场地为特殊气候环境，投建方提供相应的应对措施及</w:t>
      </w:r>
      <w:r>
        <w:rPr>
          <w:rFonts w:hint="eastAsia" w:ascii="仿宋" w:hAnsi="仿宋" w:eastAsia="仿宋" w:cs="仿宋"/>
          <w:kern w:val="2"/>
          <w:sz w:val="32"/>
          <w:szCs w:val="32"/>
          <w:lang w:val="en-US" w:eastAsia="zh-CN" w:bidi="ar-SA"/>
        </w:rPr>
        <w:t>组件的加强处理并提供证明文件。组件衰减要求：组件输出功率首年衰减率≤2%，次年起年衰减率≤0.6%，25年总衰减率≤20%。</w:t>
      </w:r>
    </w:p>
    <w:p w14:paraId="3643A56B">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jc w:val="left"/>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4）光伏组件故障率：≤1%。</w:t>
      </w:r>
    </w:p>
    <w:p w14:paraId="0A6C3731">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jc w:val="left"/>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5）光伏组件产品制造商应在国内具有光伏组件生产及管理经验，产品须通过CGC或CQC或TUV或VDE或其他同等资质的第三方认证。</w:t>
      </w:r>
    </w:p>
    <w:p w14:paraId="1943240A">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jc w:val="left"/>
        <w:textAlignment w:val="auto"/>
        <w:rPr>
          <w:rFonts w:hint="eastAsia" w:ascii="仿宋" w:hAnsi="仿宋" w:eastAsia="仿宋" w:cs="仿宋"/>
          <w:kern w:val="2"/>
          <w:sz w:val="32"/>
          <w:szCs w:val="32"/>
          <w:lang w:val="en-US" w:eastAsia="zh-CN" w:bidi="ar-SA"/>
        </w:rPr>
      </w:pPr>
      <w:bookmarkStart w:id="274" w:name="_Toc5424"/>
      <w:bookmarkStart w:id="275" w:name="_Toc11820"/>
      <w:r>
        <w:rPr>
          <w:rFonts w:hint="eastAsia" w:ascii="仿宋" w:hAnsi="仿宋" w:eastAsia="仿宋" w:cs="仿宋"/>
          <w:kern w:val="2"/>
          <w:sz w:val="32"/>
          <w:szCs w:val="32"/>
          <w:lang w:val="en-US" w:eastAsia="zh-CN" w:bidi="ar-SA"/>
        </w:rPr>
        <w:t>3.逆变器技术要求</w:t>
      </w:r>
      <w:bookmarkEnd w:id="274"/>
      <w:bookmarkEnd w:id="275"/>
    </w:p>
    <w:p w14:paraId="6598E168">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jc w:val="left"/>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1）型式要求：采用组串式逆变器。</w:t>
      </w:r>
    </w:p>
    <w:p w14:paraId="7BA6BC44">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jc w:val="left"/>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2）参数要求：最大效率≥98%、中国效率≥98%。提供第三方权威机构出具的检测报告。逆变器MPPT(最大功率点跟踪控制器)效率：逆变器应具有较高的MPPT效率，静态MPPT效率不低于99.8%，动态MPPT效率不低于99%。逆变器的MPPT电压范围不应小于550Vdc~800Vdc。防护等级不低于IP65。并网逆变器的待机功耗不应大于1W。由并网逆变器引起的低压侧电压总谐波畸变率不超过3%，奇次谐波电压畸变率不应超过2.1%，偶次谐波电压畸变率不应超过1.2%，必须满足当地电网公司要求。按照CNCA/CTS0004:2009认证技术规范要求，通过国家批准认证机构的认证。逆变器输出功率大于其额定功率的50%时，功率因数应不小于0.98，输出有功功率在20%-50%之间时，功率因数不小于0.95。逆变器具备无功补偿功能，保证并网点发电、用电功率因数在超前0.8～滞后0.8区间内连续可调。同时逆变器功率因数必须满足当地电网公司要求。</w:t>
      </w:r>
    </w:p>
    <w:p w14:paraId="7B804E72">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jc w:val="left"/>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3）功能要求：任何情况下，并网逆变器都不能向电网注入负序电流。逆变器在温度过高时必须进入降额运行模式，不能直接关机。逆变器必须具备完备的防雷保护功能。防雷设备损坏后，损坏的防雷器应能够可靠地与交、直流电网脱离（应具备防雷器失效保护装置），同时，应有信号上传至并网逆变器，由并网逆变器统一与后台监控系统通信（上传至后台监控系统）。逆变器必须具备有功功率和无功功率控制功能，并且具备夜间SVG功能。逆变器应具备高、低电压穿越功能，同时具备保护逆变器自身不受损坏的功能。必须提供同类型产品现场高、低电压穿越和频率扰动测试报告。逆变器须满足当地电网公司对光伏逆变器耐频耐压能力的要求。逆变器要求具有故障数据自动记录存储功能，存储时间大于10年，逆变器外壳采用经高质量表面处理的金属材料制作，使用寿命不低于25年。逆变器历史故障记录既能从显示屏或其他方式本地调取，又能由监控后台远程调取。</w:t>
      </w:r>
    </w:p>
    <w:p w14:paraId="09E37A39">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jc w:val="left"/>
        <w:textAlignment w:val="auto"/>
        <w:rPr>
          <w:rFonts w:hint="eastAsia" w:ascii="仿宋" w:hAnsi="仿宋" w:eastAsia="仿宋" w:cs="仿宋"/>
          <w:kern w:val="2"/>
          <w:sz w:val="32"/>
          <w:szCs w:val="32"/>
          <w:lang w:val="en-US" w:eastAsia="zh-CN" w:bidi="ar-SA"/>
        </w:rPr>
      </w:pPr>
      <w:bookmarkStart w:id="276" w:name="_Toc3435"/>
      <w:bookmarkStart w:id="277" w:name="_Toc2181"/>
      <w:r>
        <w:rPr>
          <w:rFonts w:hint="eastAsia" w:ascii="仿宋" w:hAnsi="仿宋" w:eastAsia="仿宋" w:cs="仿宋"/>
          <w:kern w:val="2"/>
          <w:sz w:val="32"/>
          <w:szCs w:val="32"/>
          <w:lang w:val="en-US" w:eastAsia="zh-CN" w:bidi="ar-SA"/>
        </w:rPr>
        <w:t>4.电力变压器技术要求：</w:t>
      </w:r>
      <w:bookmarkEnd w:id="276"/>
      <w:bookmarkEnd w:id="277"/>
    </w:p>
    <w:p w14:paraId="58EDE0CF">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jc w:val="left"/>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工程需采用能效等级为不低于2级的干式变压器，变压器的设计、制造、安装、试验应符合（但不限于）如下规范与标准，其它未注标准按国标、部标或行业标准执行。投资人应将采用的相应标准和规范的名称及版本在标书中注明。</w:t>
      </w:r>
    </w:p>
    <w:p w14:paraId="4CB5AB78">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jc w:val="left"/>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1）电力变压器第1部分总则(GB1094·1-1996)</w:t>
      </w:r>
    </w:p>
    <w:p w14:paraId="0FE21B89">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jc w:val="left"/>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2）电力变压器第2部分温升(GB1094·2-1996)</w:t>
      </w:r>
    </w:p>
    <w:p w14:paraId="40C56A95">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jc w:val="left"/>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3）电力变压器第5部分:承受短路的能力(GB1094·5-2003)</w:t>
      </w:r>
    </w:p>
    <w:p w14:paraId="6D93EAFA">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jc w:val="left"/>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4）电力变压器第11部分:干式变压器（GB/T1094·11-2007）</w:t>
      </w:r>
    </w:p>
    <w:p w14:paraId="3EC0DB11">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jc w:val="left"/>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5）干式电力变压器负载导则（GB/T17211-1998）</w:t>
      </w:r>
    </w:p>
    <w:p w14:paraId="544CB4D6">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jc w:val="left"/>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6）电力变压器经济运行（GB/T13462-2008）</w:t>
      </w:r>
    </w:p>
    <w:p w14:paraId="5893C301">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jc w:val="left"/>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7）电气装置安装工程电力变压器、油浸电抗器、互感器施工及验收规范（GBJ148—1990）</w:t>
      </w:r>
    </w:p>
    <w:p w14:paraId="6EF6F787">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jc w:val="left"/>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8）电力变压器试验导则（JB/T501─2006）</w:t>
      </w:r>
    </w:p>
    <w:p w14:paraId="0B53CD56">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jc w:val="left"/>
        <w:textAlignment w:val="auto"/>
        <w:rPr>
          <w:rFonts w:hint="default" w:ascii="仿宋" w:hAnsi="仿宋" w:eastAsia="仿宋" w:cs="仿宋"/>
          <w:kern w:val="2"/>
          <w:sz w:val="32"/>
          <w:szCs w:val="32"/>
          <w:lang w:val="en-US" w:eastAsia="zh-CN" w:bidi="ar-SA"/>
        </w:rPr>
      </w:pPr>
      <w:bookmarkStart w:id="278" w:name="_Toc23224"/>
      <w:bookmarkStart w:id="279" w:name="_Toc8271"/>
      <w:r>
        <w:rPr>
          <w:rFonts w:hint="eastAsia" w:ascii="仿宋" w:hAnsi="仿宋" w:eastAsia="仿宋" w:cs="仿宋"/>
          <w:kern w:val="2"/>
          <w:sz w:val="32"/>
          <w:szCs w:val="32"/>
          <w:lang w:val="en-US" w:eastAsia="zh-CN" w:bidi="ar-SA"/>
        </w:rPr>
        <w:t>5.配电装置技术要求</w:t>
      </w:r>
      <w:bookmarkEnd w:id="278"/>
      <w:bookmarkEnd w:id="279"/>
    </w:p>
    <w:p w14:paraId="7F42F8D6">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jc w:val="left"/>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1）配电柜应含有网侧断路器、避雷器、配置发电计量表（要求配置精度等级0.2S带通讯功能的多功能数字电能表）、逆变器并网接口及交流电压电流表等装置。</w:t>
      </w:r>
    </w:p>
    <w:p w14:paraId="6AD39F62">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jc w:val="left"/>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2）低压交流配电柜内所有电气元件要求选知名一线品牌.防护等级：室内IP44。柜体材料及表面：采用2.0mm厚的冷轧钢板，表面经除油\除锈及磷化防锈处理，再进行粉末静电喷塑,涂层厚度60-80um，具有极好的防腐蚀性。</w:t>
      </w:r>
    </w:p>
    <w:p w14:paraId="7A1D9B26">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jc w:val="left"/>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3）10kV开关柜要求</w:t>
      </w:r>
    </w:p>
    <w:p w14:paraId="29130806">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jc w:val="left"/>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采用户内金属铠装式全封闭中置式开关柜，配置性能优越的固封极柱式真空断路器，断路器中置移开式。必须与铜仁机场配电室现用配电柜的颜色一致。防护等级：室内IP44。电流互感器分别配置单独的计量和测量绕组，测量绕组精度为5P30、计量为0.2S。各元件应符合各自的有关标准。开关柜内部导体采用的热缩绝缘材料老化寿命应大于20年，并提供试验报告。</w:t>
      </w:r>
    </w:p>
    <w:p w14:paraId="76308BD5">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jc w:val="left"/>
        <w:textAlignment w:val="auto"/>
        <w:rPr>
          <w:rFonts w:hint="eastAsia" w:ascii="仿宋" w:hAnsi="仿宋" w:eastAsia="仿宋" w:cs="仿宋"/>
          <w:kern w:val="2"/>
          <w:sz w:val="32"/>
          <w:szCs w:val="32"/>
          <w:lang w:val="en-US" w:eastAsia="zh-CN" w:bidi="ar-SA"/>
        </w:rPr>
      </w:pPr>
      <w:bookmarkStart w:id="280" w:name="_Toc3970"/>
      <w:bookmarkStart w:id="281" w:name="_Toc16101"/>
      <w:r>
        <w:rPr>
          <w:rFonts w:hint="eastAsia" w:ascii="仿宋" w:hAnsi="仿宋" w:eastAsia="仿宋" w:cs="仿宋"/>
          <w:kern w:val="2"/>
          <w:sz w:val="32"/>
          <w:szCs w:val="32"/>
          <w:lang w:val="en-US" w:eastAsia="zh-CN" w:bidi="ar-SA"/>
        </w:rPr>
        <w:t>6.电能质量要求</w:t>
      </w:r>
      <w:bookmarkEnd w:id="280"/>
      <w:bookmarkEnd w:id="281"/>
    </w:p>
    <w:p w14:paraId="2AA44CB6">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jc w:val="left"/>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光伏发电系统出力具有波动性和间歇性，另外光伏发电系统通过逆变器将太阳能电池方阵输出的直流转换交流负荷使用，含有大量的电力电子设备，接入配电网会对当地电网的电能质量产生一定的影响，包括谐波、电流偏差、电压波动、电压不平衡和直流分量等方面。为了能够向负荷提供可靠电力，由光伏发电系统引起的各项电能质量指标应该符合相关标准的规定。</w:t>
      </w:r>
    </w:p>
    <w:p w14:paraId="6F5812A7">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jc w:val="left"/>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1）谐波：光伏电站接入电网后，公共连接点的谐波电压应满足《电能质量公共电网谐波》GB/T14549-1993的规定。光伏电站接入电网后，公共连接点处的总谐波电流分量（方均根）应满足《电能质量公用电网谐波》GB/T14549-1993的规定，其中光伏电站向电网注入的谐波电流允许值按此光伏电站安装容量与其公共连接点的供电设备容量之比进行分配。</w:t>
      </w:r>
    </w:p>
    <w:p w14:paraId="4472C83C">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jc w:val="left"/>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2）电压偏差：光伏电站接入电网后，公共连接点的电压偏差应满足《电能质量供电电压偏差》GB/T12325-2008的规定，10kV三相公共连接点电压偏差为标称电压的±7%。</w:t>
      </w:r>
    </w:p>
    <w:p w14:paraId="653CE0A3">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jc w:val="left"/>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3）电压波动：光伏电站接入电网后，公共连接点的电压波动应满足《电能质量电压波动和闪变》GB/T12326-2008的规定。对于光伏电站出力变化引起的电压变动，其频度可以按照1＜r≤10（每小时变动的次数在10次以内）考虑，因此光伏电站以10kV接入引起的公共连接点电压变动最大不得超过3%。</w:t>
      </w:r>
    </w:p>
    <w:p w14:paraId="18F2E35C">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jc w:val="left"/>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4）电压不平衡度：光伏电站接入电网后，公共连接点的三相电压不平衡度应不超过GB/T15543-2008《电能质量三相电压不平衡》规定的限制，公共连接点的负序电压不平衡度应不超过2%，短时不得超过4%；其中由光伏电站引起的负序电压不平衡度应不超过1.3%，短时不超过2.6%。</w:t>
      </w:r>
    </w:p>
    <w:p w14:paraId="58FBDFEA">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jc w:val="left"/>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5）直流分量。光伏电站向公共连接点注入的直流电流分量不应超过其交流额定值的0.5%。</w:t>
      </w:r>
    </w:p>
    <w:p w14:paraId="6A0C9810">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jc w:val="left"/>
        <w:textAlignment w:val="auto"/>
        <w:rPr>
          <w:rFonts w:hint="eastAsia" w:ascii="仿宋" w:hAnsi="仿宋" w:eastAsia="仿宋" w:cs="仿宋"/>
          <w:kern w:val="2"/>
          <w:sz w:val="32"/>
          <w:szCs w:val="32"/>
          <w:lang w:val="en-US" w:eastAsia="zh-CN" w:bidi="ar-SA"/>
        </w:rPr>
      </w:pPr>
      <w:bookmarkStart w:id="282" w:name="_Toc25078"/>
      <w:bookmarkStart w:id="283" w:name="_Toc7938"/>
      <w:r>
        <w:rPr>
          <w:rFonts w:hint="eastAsia" w:ascii="仿宋" w:hAnsi="仿宋" w:eastAsia="仿宋" w:cs="仿宋"/>
          <w:kern w:val="2"/>
          <w:sz w:val="32"/>
          <w:szCs w:val="32"/>
          <w:lang w:val="en-US" w:eastAsia="zh-CN" w:bidi="ar-SA"/>
        </w:rPr>
        <w:t>7.监控系统、展示界面技术要求</w:t>
      </w:r>
      <w:bookmarkEnd w:id="282"/>
      <w:bookmarkEnd w:id="283"/>
    </w:p>
    <w:p w14:paraId="26D46831">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jc w:val="left"/>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1）电气监控系统主要监控配电电气设备（包括开关柜、逆变器等）。光伏电站的监控系统应采用知名品牌的高可靠性工控机进行集中控制和数据采集，具有遥控、遥测、遥信功能。LCD液晶屏显示，可测量和显示光伏发电各系统的各类参数，逆变器、高低压开关柜、升压变的电压和电流、光伏发电各系统的工作状态、每一个光伏组串直流侧的电压和电流，交流输出电压和电流、功率、功率因数、频率、故障报警信息以及环境参数（如辐照度、环境温度等），二氧化碳减排量，统计和显示日发电量、总发电量等信息，并形成可打印报表。系统具有数据存储查询功能，能够记录5年以上数据，可以方便的归档查询.</w:t>
      </w:r>
    </w:p>
    <w:p w14:paraId="3B6A74D5">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jc w:val="left"/>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2）系统具有数据存储查询功能，能够记录5年以上数据，可以方便的归档查询。可通过局域网或互联网对光伏系统进行远程监控，并可通过终端设备下载相关报表和数据。监控系统满足生产运营和对外展示要求。</w:t>
      </w:r>
    </w:p>
    <w:p w14:paraId="23DCBDD3">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jc w:val="left"/>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3）项目的监控系统至少可以采集以下列信息：</w:t>
      </w:r>
    </w:p>
    <w:p w14:paraId="306B7C27">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jc w:val="left"/>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①环境参数：主要包括日照强度（平面和垂直）、风速、风向、室外温度、室内温度和电池板温度等参量。</w:t>
      </w:r>
    </w:p>
    <w:p w14:paraId="3DC0DA66">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jc w:val="left"/>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②光伏系统运行参数：可查看每台逆变器的运行参数，主要包括：直流电压、直流电流、直流功率、交流电压、交流电流、逆变器机内温度、时钟、频率、功率因数、当前发电功率，整个系统电能质量(电流、电压、频率、谐波、功率因数等)；</w:t>
      </w:r>
    </w:p>
    <w:p w14:paraId="0DD1A950">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jc w:val="left"/>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③所有汇流箱的电流、电压等参数；</w:t>
      </w:r>
    </w:p>
    <w:p w14:paraId="4CADC760">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jc w:val="left"/>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④所有变压器、开关柜的开关信号以及计量柜的发电参数等；</w:t>
      </w:r>
    </w:p>
    <w:p w14:paraId="481CC91B">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jc w:val="left"/>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⑤节能减排参数：日发电量，累计发电量，CO2减排量。</w:t>
      </w:r>
    </w:p>
    <w:p w14:paraId="773EDE07">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jc w:val="left"/>
        <w:textAlignment w:val="auto"/>
        <w:rPr>
          <w:rFonts w:hint="default"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4）监控系统显示的主要画面至少如下：</w:t>
      </w:r>
    </w:p>
    <w:p w14:paraId="211FA2AF">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jc w:val="left"/>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①电气主接线图，包括显示设备运行状态、各主要电气量（电流、电压、频率、有功、无功、功率因素）等的实时值；</w:t>
      </w:r>
    </w:p>
    <w:p w14:paraId="45E8773F">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jc w:val="left"/>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②直流系统图，趋势曲线图（包括历史数据和实时数据）；</w:t>
      </w:r>
    </w:p>
    <w:p w14:paraId="10457E44">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jc w:val="left"/>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③计算机监控系统运行工况图，各发电单元及全站发电容量曲线；</w:t>
      </w:r>
    </w:p>
    <w:p w14:paraId="45A3AE13">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jc w:val="left"/>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④各种保护信息及报表，逆变器运行相关参数及设备运行状况；</w:t>
      </w:r>
    </w:p>
    <w:p w14:paraId="03897DB6">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jc w:val="left"/>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⑤汇流箱各支路电流，防止逆流控制系统数据；</w:t>
      </w:r>
    </w:p>
    <w:p w14:paraId="4665B8E5">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jc w:val="left"/>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⑥控制操作过程记录及报表；</w:t>
      </w:r>
    </w:p>
    <w:p w14:paraId="6FE2DB06">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jc w:val="left"/>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⑦事故追忆记录报告或曲线；</w:t>
      </w:r>
    </w:p>
    <w:p w14:paraId="179ED73B">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jc w:val="left"/>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⑧发电量的历史、实时和预测数据；</w:t>
      </w:r>
    </w:p>
    <w:p w14:paraId="208B2D08">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jc w:val="left"/>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⑨实时的环境信息；</w:t>
      </w:r>
    </w:p>
    <w:p w14:paraId="764D5A17">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jc w:val="left"/>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⑩各种统计报表。</w:t>
      </w:r>
    </w:p>
    <w:p w14:paraId="6DEB137B">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jc w:val="left"/>
        <w:textAlignment w:val="auto"/>
        <w:rPr>
          <w:rFonts w:hint="eastAsia" w:ascii="仿宋" w:hAnsi="仿宋" w:eastAsia="仿宋" w:cs="仿宋"/>
          <w:kern w:val="2"/>
          <w:sz w:val="32"/>
          <w:szCs w:val="32"/>
          <w:lang w:val="en-US" w:eastAsia="zh-CN" w:bidi="ar-SA"/>
        </w:rPr>
      </w:pPr>
      <w:bookmarkStart w:id="284" w:name="_Toc6933"/>
      <w:bookmarkStart w:id="285" w:name="_Toc10809"/>
      <w:r>
        <w:rPr>
          <w:rFonts w:hint="eastAsia" w:ascii="仿宋" w:hAnsi="仿宋" w:eastAsia="仿宋" w:cs="仿宋"/>
          <w:kern w:val="2"/>
          <w:sz w:val="32"/>
          <w:szCs w:val="32"/>
          <w:lang w:val="en-US" w:eastAsia="zh-CN" w:bidi="ar-SA"/>
        </w:rPr>
        <w:t>8.运行维护要求</w:t>
      </w:r>
      <w:bookmarkEnd w:id="284"/>
      <w:bookmarkEnd w:id="285"/>
    </w:p>
    <w:p w14:paraId="551CC3DA">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jc w:val="left"/>
        <w:textAlignment w:val="auto"/>
        <w:rPr>
          <w:rFonts w:hint="eastAsia" w:ascii="宋体" w:hAnsi="宋体" w:cs="宋体"/>
        </w:rPr>
      </w:pPr>
      <w:r>
        <w:rPr>
          <w:rFonts w:hint="eastAsia" w:ascii="仿宋" w:hAnsi="仿宋" w:eastAsia="仿宋" w:cs="仿宋"/>
          <w:kern w:val="2"/>
          <w:sz w:val="32"/>
          <w:szCs w:val="32"/>
          <w:lang w:val="en-US" w:eastAsia="zh-CN" w:bidi="ar-SA"/>
        </w:rPr>
        <w:t>应严格遵守国家、行业相关标准和各项规定，应严格执行行业及有关光伏项目各项管理制度标准及规定。制定年度维护计划、材料及备品备件计划、工作总结等。光伏电站配置的技术服务人员持有《特种作业高压电工证》。需编制《光伏电站运行管理标准化实施细则》、《光伏电站检修管理标准化实施细则》、《电气系统图册》、《安全管理制度》等相关安全、运行、检修制度，建立保证安全生产的体系</w:t>
      </w:r>
      <w:r>
        <w:rPr>
          <w:rFonts w:hint="eastAsia" w:ascii="宋体" w:hAnsi="宋体" w:cs="宋体"/>
        </w:rPr>
        <w:t>。</w:t>
      </w:r>
    </w:p>
    <w:bookmarkEnd w:id="0"/>
    <w:p w14:paraId="3C9EF46F">
      <w:pPr>
        <w:keepNext w:val="0"/>
        <w:keepLines w:val="0"/>
        <w:pageBreakBefore w:val="0"/>
        <w:widowControl/>
        <w:kinsoku/>
        <w:wordWrap/>
        <w:overflowPunct/>
        <w:topLinePunct w:val="0"/>
        <w:autoSpaceDE/>
        <w:autoSpaceDN/>
        <w:bidi w:val="0"/>
        <w:adjustRightInd/>
        <w:snapToGrid/>
        <w:spacing w:line="240" w:lineRule="auto"/>
        <w:ind w:firstLine="0" w:firstLineChars="0"/>
        <w:textAlignment w:val="auto"/>
        <w:rPr>
          <w:rFonts w:hint="eastAsia" w:ascii="仿宋" w:hAnsi="仿宋" w:eastAsia="仿宋" w:cs="仿宋"/>
          <w:sz w:val="32"/>
          <w:szCs w:val="32"/>
        </w:rPr>
      </w:pPr>
    </w:p>
    <w:sectPr>
      <w:footerReference r:id="rId5" w:type="default"/>
      <w:pgSz w:w="11906" w:h="16838"/>
      <w:pgMar w:top="1440" w:right="1803" w:bottom="1440" w:left="1803" w:header="851" w:footer="992" w:gutter="0"/>
      <w:cols w:space="720" w:num="1"/>
      <w:docGrid w:type="lines" w:linePitch="488"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微软雅黑"/>
    <w:panose1 w:val="02010600030101010101"/>
    <w:charset w:val="86"/>
    <w:family w:val="auto"/>
    <w:pitch w:val="default"/>
    <w:sig w:usb0="00000000" w:usb1="00000000" w:usb2="00000016" w:usb3="00000000" w:csb0="0004000F" w:csb1="00000000"/>
  </w:font>
  <w:font w:name="Cambria">
    <w:panose1 w:val="02040503050406030204"/>
    <w:charset w:val="00"/>
    <w:family w:val="roman"/>
    <w:pitch w:val="default"/>
    <w:sig w:usb0="E00002FF" w:usb1="400004FF" w:usb2="00000000" w:usb3="00000000" w:csb0="2000019F" w:csb1="00000000"/>
  </w:font>
  <w:font w:name="E?">
    <w:altName w:val="Times New Roman"/>
    <w:panose1 w:val="00000000000000000000"/>
    <w:charset w:val="00"/>
    <w:family w:val="auto"/>
    <w:pitch w:val="default"/>
    <w:sig w:usb0="00000000" w:usb1="00000000" w:usb2="00000000" w:usb3="00000000" w:csb0="00000001" w:csb1="00000000"/>
  </w:font>
  <w:font w:name="仿宋_GB2312">
    <w:panose1 w:val="02010609030101010101"/>
    <w:charset w:val="86"/>
    <w:family w:val="modern"/>
    <w:pitch w:val="default"/>
    <w:sig w:usb0="00000001" w:usb1="080E0000" w:usb2="00000000" w:usb3="00000000" w:csb0="00040000" w:csb1="00000000"/>
  </w:font>
  <w:font w:name="MingLiU">
    <w:panose1 w:val="02020509000000000000"/>
    <w:charset w:val="88"/>
    <w:family w:val="modern"/>
    <w:pitch w:val="default"/>
    <w:sig w:usb0="A00002FF" w:usb1="28CFFCFA" w:usb2="00000016" w:usb3="00000000" w:csb0="00100001"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D00AD8D">
    <w:pPr>
      <w:pStyle w:val="11"/>
      <w:spacing w:line="14" w:lineRule="auto"/>
      <w:rPr>
        <w:sz w:val="20"/>
      </w:rPr>
    </w:pPr>
    <w:r>
      <w:rPr>
        <w:sz w:val="20"/>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5A725C2">
                          <w:pPr>
                            <w:pStyle w:val="20"/>
                          </w:pPr>
                          <w:r>
                            <w:t xml:space="preserve">第 </w:t>
                          </w:r>
                          <w:r>
                            <w:fldChar w:fldCharType="begin"/>
                          </w:r>
                          <w:r>
                            <w:instrText xml:space="preserve"> PAGE  \* MERGEFORMAT </w:instrText>
                          </w:r>
                          <w:r>
                            <w:fldChar w:fldCharType="separate"/>
                          </w:r>
                          <w:r>
                            <w:t>24</w:t>
                          </w:r>
                          <w:r>
                            <w:fldChar w:fldCharType="end"/>
                          </w:r>
                          <w:r>
                            <w:t xml:space="preserve"> 页 共 </w:t>
                          </w:r>
                          <w:r>
                            <w:fldChar w:fldCharType="begin"/>
                          </w:r>
                          <w:r>
                            <w:instrText xml:space="preserve"> NUMPAGES  \* MERGEFORMAT </w:instrText>
                          </w:r>
                          <w:r>
                            <w:fldChar w:fldCharType="separate"/>
                          </w:r>
                          <w:r>
                            <w:t>25</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9j2DAsAgAAV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3k7T9sLVA3CpkSOS6B4brdDsm57Z3uRn&#10;EHOm6wxv+aZC8i3z4YE5tAIejGEJ91gKaZDE9BYlpXFf/3Ue41EheCmp0VoZ1ZgkSuQHjcoBMAyG&#10;G4z9YOijujPo1TGG0PLWxAUX5GAWzqgvmKBVzAEX0xyZMhoG8y507Y0J5GK1aoPQa5aFrd5ZHqGj&#10;eN6ujgECtrpGUToleq3QbW1l+smI7fznvo16+hssHw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r2PYMCwCAABVBAAADgAAAAAAAAABACAAAAAfAQAAZHJzL2Uyb0RvYy54bWxQSwUGAAAAAAYA&#10;BgBZAQAAvQUAAAAA&#10;">
              <v:fill on="f" focussize="0,0"/>
              <v:stroke on="f" weight="0.5pt"/>
              <v:imagedata o:title=""/>
              <o:lock v:ext="edit" aspectratio="f"/>
              <v:textbox inset="0mm,0mm,0mm,0mm" style="mso-fit-shape-to-text:t;">
                <w:txbxContent>
                  <w:p w14:paraId="25A725C2">
                    <w:pPr>
                      <w:pStyle w:val="20"/>
                    </w:pPr>
                    <w:r>
                      <w:t xml:space="preserve">第 </w:t>
                    </w:r>
                    <w:r>
                      <w:fldChar w:fldCharType="begin"/>
                    </w:r>
                    <w:r>
                      <w:instrText xml:space="preserve"> PAGE  \* MERGEFORMAT </w:instrText>
                    </w:r>
                    <w:r>
                      <w:fldChar w:fldCharType="separate"/>
                    </w:r>
                    <w:r>
                      <w:t>24</w:t>
                    </w:r>
                    <w:r>
                      <w:fldChar w:fldCharType="end"/>
                    </w:r>
                    <w:r>
                      <w:t xml:space="preserve"> 页 共 </w:t>
                    </w:r>
                    <w:r>
                      <w:fldChar w:fldCharType="begin"/>
                    </w:r>
                    <w:r>
                      <w:instrText xml:space="preserve"> NUMPAGES  \* MERGEFORMAT </w:instrText>
                    </w:r>
                    <w:r>
                      <w:fldChar w:fldCharType="separate"/>
                    </w:r>
                    <w:r>
                      <w:t>25</w:t>
                    </w:r>
                    <w:r>
                      <w:fldChar w:fldCharType="end"/>
                    </w:r>
                    <w:r>
                      <w:t xml:space="preserve"> 页</w:t>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pPr>
      <w:r>
        <w:separator/>
      </w:r>
    </w:p>
  </w:footnote>
  <w:footnote w:type="continuationSeparator" w:id="1">
    <w:p>
      <w:pPr>
        <w:spacing w:line="36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bordersDoNotSurroundHeader w:val="1"/>
  <w:bordersDoNotSurroundFooter w:val="1"/>
  <w:trackRevisions w:val="1"/>
  <w:documentProtection w:enforcement="0"/>
  <w:defaultTabStop w:val="420"/>
  <w:drawingGridHorizontalSpacing w:val="170"/>
  <w:drawingGridVerticalSpacing w:val="244"/>
  <w:noPunctuationKerning w:val="1"/>
  <w:characterSpacingControl w:val="compressPunctuation"/>
  <w:noLineBreaksAfter w:lang="zh-CN" w:val="$([{£¥·‘“〈《「『【〔〖〝﹙﹛﹝＄（．［｛￡￥"/>
  <w:noLineBreaksBefore w:lang="zh-CN" w:val="!%),.:;&gt;?]}¢¨°·ˇˉ―‖’”…‰′″›℃∶、。〃〉》」』】〕〗〞︶︺︾﹀﹄﹚﹜﹞！＂％＇），．：；？］｀｜｝～￠"/>
  <w:doNotValidateAgainstSchema/>
  <w:doNotDemarcateInvalidXml/>
  <w:footnotePr>
    <w:footnote w:id="0"/>
    <w:footnote w:id="1"/>
  </w:footnotePr>
  <w:endnotePr>
    <w:endnote w:id="0"/>
    <w:endnote w:id="1"/>
  </w:endnotePr>
  <w:compat>
    <w:spaceForUL/>
    <w:balanceSingleByteDoubleByteWidth/>
    <w:doNotLeaveBackslashAlon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k5MDE3YzRiZTE1ZmIxN2U3ODA0NGZkMjRjODQ4ZGQifQ=="/>
    <w:docVar w:name="KSO_WPS_MARK_KEY" w:val="847fe9ab-1972-496e-8214-8efffafbd2c9"/>
  </w:docVars>
  <w:rsids>
    <w:rsidRoot w:val="0000063F"/>
    <w:rsid w:val="0000063F"/>
    <w:rsid w:val="00024AFC"/>
    <w:rsid w:val="00036A17"/>
    <w:rsid w:val="000A0FA9"/>
    <w:rsid w:val="000D484A"/>
    <w:rsid w:val="001278A9"/>
    <w:rsid w:val="00166AF0"/>
    <w:rsid w:val="0017660F"/>
    <w:rsid w:val="00293C1B"/>
    <w:rsid w:val="002C439A"/>
    <w:rsid w:val="002E6B1E"/>
    <w:rsid w:val="0037052B"/>
    <w:rsid w:val="003B53B6"/>
    <w:rsid w:val="003E33E9"/>
    <w:rsid w:val="003E5C14"/>
    <w:rsid w:val="00435305"/>
    <w:rsid w:val="00444E05"/>
    <w:rsid w:val="004A5A4C"/>
    <w:rsid w:val="004D22DF"/>
    <w:rsid w:val="0052522A"/>
    <w:rsid w:val="00683DA1"/>
    <w:rsid w:val="006B5988"/>
    <w:rsid w:val="006E29DC"/>
    <w:rsid w:val="00802C9C"/>
    <w:rsid w:val="00836D2D"/>
    <w:rsid w:val="00862390"/>
    <w:rsid w:val="008A5F93"/>
    <w:rsid w:val="00917435"/>
    <w:rsid w:val="00952DFD"/>
    <w:rsid w:val="009725FE"/>
    <w:rsid w:val="00992C1A"/>
    <w:rsid w:val="009A6BF2"/>
    <w:rsid w:val="009C57A8"/>
    <w:rsid w:val="00A30674"/>
    <w:rsid w:val="00A44543"/>
    <w:rsid w:val="00B2790C"/>
    <w:rsid w:val="00B325F7"/>
    <w:rsid w:val="00B41920"/>
    <w:rsid w:val="00B5322E"/>
    <w:rsid w:val="00BD2FD9"/>
    <w:rsid w:val="00C12B5E"/>
    <w:rsid w:val="00C54059"/>
    <w:rsid w:val="00C647EB"/>
    <w:rsid w:val="00C9741B"/>
    <w:rsid w:val="00CC2D3C"/>
    <w:rsid w:val="00CD50A5"/>
    <w:rsid w:val="00D27D07"/>
    <w:rsid w:val="00D84635"/>
    <w:rsid w:val="00DB040B"/>
    <w:rsid w:val="00DF24EC"/>
    <w:rsid w:val="00E73429"/>
    <w:rsid w:val="02A227A1"/>
    <w:rsid w:val="02C24BF1"/>
    <w:rsid w:val="03280E01"/>
    <w:rsid w:val="03F628D5"/>
    <w:rsid w:val="04412E37"/>
    <w:rsid w:val="04DB3392"/>
    <w:rsid w:val="06AB256C"/>
    <w:rsid w:val="072E0942"/>
    <w:rsid w:val="07FC14D4"/>
    <w:rsid w:val="08FC3A15"/>
    <w:rsid w:val="0D630A85"/>
    <w:rsid w:val="0DED6FC6"/>
    <w:rsid w:val="0ECA305B"/>
    <w:rsid w:val="117D2F3D"/>
    <w:rsid w:val="14C47730"/>
    <w:rsid w:val="1622355E"/>
    <w:rsid w:val="16E755E5"/>
    <w:rsid w:val="17993C9F"/>
    <w:rsid w:val="190A116D"/>
    <w:rsid w:val="19F925B7"/>
    <w:rsid w:val="1B6E33BD"/>
    <w:rsid w:val="1B826A06"/>
    <w:rsid w:val="1C1B4422"/>
    <w:rsid w:val="23056708"/>
    <w:rsid w:val="24A10770"/>
    <w:rsid w:val="267B41B8"/>
    <w:rsid w:val="27A36C3D"/>
    <w:rsid w:val="28B72418"/>
    <w:rsid w:val="2C106A1A"/>
    <w:rsid w:val="2C246C43"/>
    <w:rsid w:val="2ECA3F64"/>
    <w:rsid w:val="2F436F36"/>
    <w:rsid w:val="3032241A"/>
    <w:rsid w:val="309B670B"/>
    <w:rsid w:val="324908BF"/>
    <w:rsid w:val="32765CD0"/>
    <w:rsid w:val="35593764"/>
    <w:rsid w:val="363F11C2"/>
    <w:rsid w:val="3F57173A"/>
    <w:rsid w:val="40FD497E"/>
    <w:rsid w:val="42F36915"/>
    <w:rsid w:val="441849AF"/>
    <w:rsid w:val="46252B7A"/>
    <w:rsid w:val="476B63D6"/>
    <w:rsid w:val="482F1725"/>
    <w:rsid w:val="4ACB76F5"/>
    <w:rsid w:val="4F6E739E"/>
    <w:rsid w:val="4F9552B2"/>
    <w:rsid w:val="5061032C"/>
    <w:rsid w:val="52140D1A"/>
    <w:rsid w:val="53057EDB"/>
    <w:rsid w:val="547C5F7A"/>
    <w:rsid w:val="572F3DEB"/>
    <w:rsid w:val="5A5C11C0"/>
    <w:rsid w:val="5D3F0F55"/>
    <w:rsid w:val="5FA3206E"/>
    <w:rsid w:val="61323E79"/>
    <w:rsid w:val="620F5A64"/>
    <w:rsid w:val="63584F12"/>
    <w:rsid w:val="66757963"/>
    <w:rsid w:val="68D20407"/>
    <w:rsid w:val="6BA87A7D"/>
    <w:rsid w:val="6C880931"/>
    <w:rsid w:val="6D686C5E"/>
    <w:rsid w:val="6DB5353D"/>
    <w:rsid w:val="73C46A33"/>
    <w:rsid w:val="748F76F0"/>
    <w:rsid w:val="75502696"/>
    <w:rsid w:val="75FC27A0"/>
    <w:rsid w:val="79A03E6C"/>
    <w:rsid w:val="79AD065A"/>
    <w:rsid w:val="79B56473"/>
    <w:rsid w:val="7CF4386D"/>
    <w:rsid w:val="7E210C51"/>
    <w:rsid w:val="7ED76116"/>
    <w:rsid w:val="7EEB4D72"/>
  </w:rsids>
  <m:mathPr>
    <m:mathFont m:val="Cambria Math"/>
    <m:brkBin m:val="before"/>
    <m:brkBinSub m:val="--"/>
    <m:smallFrac m:val="1"/>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sdException w:qFormat="1" w:unhideWhenUsed="0" w:uiPriority="99" w:semiHidden="0" w:name="heading 3"/>
    <w:lsdException w:qFormat="1" w:unhideWhenUsed="0" w:uiPriority="99"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qFormat="1" w:unhideWhenUsed="0" w:uiPriority="99"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39" w:semiHidden="0" w:name="toc 4"/>
    <w:lsdException w:qFormat="1" w:unhideWhenUsed="0" w:uiPriority="39" w:semiHidden="0" w:name="toc 5"/>
    <w:lsdException w:qFormat="1" w:unhideWhenUsed="0" w:uiPriority="39" w:semiHidden="0" w:name="toc 6"/>
    <w:lsdException w:qFormat="1" w:unhideWhenUsed="0" w:uiPriority="39" w:semiHidden="0" w:name="toc 7"/>
    <w:lsdException w:qFormat="1" w:unhideWhenUsed="0" w:uiPriority="39" w:semiHidden="0" w:name="toc 8"/>
    <w:lsdException w:qFormat="1" w:unhideWhenUsed="0" w:uiPriority="39" w:semiHidden="0" w:name="toc 9"/>
    <w:lsdException w:qFormat="1" w:unhideWhenUsed="0" w:uiPriority="0" w:semiHidden="0" w:name="Normal Indent"/>
    <w:lsdException w:unhideWhenUsed="0" w:uiPriority="0" w:semiHidden="0" w:name="footnote text"/>
    <w:lsdException w:qFormat="1" w:unhideWhenUsed="0" w:uiPriority="99"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99"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99"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99"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99"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qFormat="1" w:unhideWhenUsed="0" w:uiPriority="99" w:semiHidden="0" w:name="Body Text 3"/>
    <w:lsdException w:qFormat="1" w:unhideWhenUsed="0" w:uiPriority="0" w:semiHidden="0" w:name="Body Text Indent 2"/>
    <w:lsdException w:qFormat="1" w:unhideWhenUsed="0" w:uiPriority="0" w:semiHidden="0" w:name="Body Text Indent 3"/>
    <w:lsdException w:unhideWhenUsed="0" w:uiPriority="0" w:semiHidden="0" w:name="Block Text"/>
    <w:lsdException w:qFormat="1" w:unhideWhenUsed="0" w:uiPriority="99" w:semiHidden="0" w:name="Hyperlink"/>
    <w:lsdException w:unhideWhenUsed="0" w:uiPriority="0" w:semiHidden="0" w:name="FollowedHyperlink"/>
    <w:lsdException w:qFormat="1" w:unhideWhenUsed="0" w:uiPriority="99" w:semiHidden="0" w:name="Strong"/>
    <w:lsdException w:qFormat="1" w:unhideWhenUsed="0" w:uiPriority="0" w:semiHidden="0" w:name="Emphasis"/>
    <w:lsdException w:qFormat="1" w:unhideWhenUsed="0" w:uiPriority="99"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99"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99" w:semiHidden="0" w:name="Balloon Text"/>
    <w:lsdException w:qFormat="1" w:unhideWhenUsed="0" w:uiPriority="9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adjustRightInd w:val="0"/>
      <w:snapToGrid w:val="0"/>
      <w:spacing w:line="360" w:lineRule="auto"/>
      <w:jc w:val="both"/>
    </w:pPr>
    <w:rPr>
      <w:rFonts w:ascii="等线" w:hAnsi="等线" w:eastAsia="宋体" w:cs="Times New Roman"/>
      <w:kern w:val="2"/>
      <w:sz w:val="24"/>
      <w:szCs w:val="24"/>
      <w:lang w:val="en-US" w:eastAsia="zh-CN" w:bidi="ar-SA"/>
    </w:rPr>
  </w:style>
  <w:style w:type="paragraph" w:styleId="2">
    <w:name w:val="heading 1"/>
    <w:basedOn w:val="1"/>
    <w:next w:val="1"/>
    <w:link w:val="112"/>
    <w:qFormat/>
    <w:uiPriority w:val="99"/>
    <w:pPr>
      <w:keepNext/>
      <w:keepLines/>
      <w:outlineLvl w:val="0"/>
    </w:pPr>
    <w:rPr>
      <w:rFonts w:ascii="宋体" w:hAnsi="宋体"/>
      <w:b/>
      <w:bCs/>
      <w:kern w:val="44"/>
      <w:sz w:val="32"/>
      <w:szCs w:val="44"/>
    </w:rPr>
  </w:style>
  <w:style w:type="paragraph" w:styleId="3">
    <w:name w:val="heading 2"/>
    <w:basedOn w:val="1"/>
    <w:next w:val="1"/>
    <w:link w:val="40"/>
    <w:qFormat/>
    <w:uiPriority w:val="99"/>
    <w:pPr>
      <w:keepNext/>
      <w:keepLines/>
      <w:outlineLvl w:val="1"/>
    </w:pPr>
    <w:rPr>
      <w:rFonts w:ascii="Arial" w:hAnsi="Arial"/>
      <w:b/>
      <w:bCs/>
      <w:sz w:val="30"/>
      <w:szCs w:val="32"/>
    </w:rPr>
  </w:style>
  <w:style w:type="paragraph" w:styleId="4">
    <w:name w:val="heading 3"/>
    <w:basedOn w:val="1"/>
    <w:next w:val="1"/>
    <w:link w:val="41"/>
    <w:qFormat/>
    <w:uiPriority w:val="99"/>
    <w:pPr>
      <w:keepNext/>
      <w:keepLines/>
      <w:outlineLvl w:val="2"/>
    </w:pPr>
    <w:rPr>
      <w:rFonts w:ascii="宋体" w:hAnsi="宋体"/>
      <w:b/>
      <w:bCs/>
      <w:kern w:val="0"/>
      <w:sz w:val="28"/>
      <w:szCs w:val="32"/>
    </w:rPr>
  </w:style>
  <w:style w:type="paragraph" w:styleId="5">
    <w:name w:val="heading 4"/>
    <w:basedOn w:val="1"/>
    <w:next w:val="1"/>
    <w:link w:val="42"/>
    <w:qFormat/>
    <w:uiPriority w:val="99"/>
    <w:pPr>
      <w:spacing w:before="100" w:beforeAutospacing="1" w:after="100" w:afterAutospacing="1"/>
      <w:ind w:left="522" w:right="21"/>
      <w:jc w:val="left"/>
      <w:outlineLvl w:val="3"/>
    </w:pPr>
    <w:rPr>
      <w:rFonts w:ascii="Times New Roman" w:hAnsi="Times New Roman"/>
      <w:b/>
      <w:bCs/>
      <w:kern w:val="0"/>
      <w:szCs w:val="21"/>
    </w:rPr>
  </w:style>
  <w:style w:type="character" w:default="1" w:styleId="34">
    <w:name w:val="Default Paragraph Font"/>
    <w:semiHidden/>
    <w:unhideWhenUsed/>
    <w:qFormat/>
    <w:uiPriority w:val="1"/>
  </w:style>
  <w:style w:type="table" w:default="1" w:styleId="32">
    <w:name w:val="Normal Table"/>
    <w:semiHidden/>
    <w:unhideWhenUsed/>
    <w:qFormat/>
    <w:uiPriority w:val="99"/>
    <w:tblPr>
      <w:tblCellMar>
        <w:top w:w="0" w:type="dxa"/>
        <w:left w:w="108" w:type="dxa"/>
        <w:bottom w:w="0" w:type="dxa"/>
        <w:right w:w="108" w:type="dxa"/>
      </w:tblCellMar>
    </w:tblPr>
  </w:style>
  <w:style w:type="paragraph" w:styleId="6">
    <w:name w:val="toc 7"/>
    <w:basedOn w:val="1"/>
    <w:next w:val="1"/>
    <w:qFormat/>
    <w:uiPriority w:val="39"/>
    <w:pPr>
      <w:ind w:left="2520" w:leftChars="1200"/>
    </w:pPr>
    <w:rPr>
      <w:rFonts w:ascii="Calibri" w:hAnsi="Calibri"/>
      <w:szCs w:val="22"/>
    </w:rPr>
  </w:style>
  <w:style w:type="paragraph" w:styleId="7">
    <w:name w:val="Normal Indent"/>
    <w:basedOn w:val="1"/>
    <w:link w:val="58"/>
    <w:qFormat/>
    <w:uiPriority w:val="0"/>
    <w:pPr>
      <w:ind w:firstLine="420" w:firstLineChars="200"/>
    </w:pPr>
    <w:rPr>
      <w:rFonts w:ascii="Calibri" w:hAnsi="Calibri"/>
    </w:rPr>
  </w:style>
  <w:style w:type="paragraph" w:styleId="8">
    <w:name w:val="Document Map"/>
    <w:basedOn w:val="1"/>
    <w:link w:val="46"/>
    <w:qFormat/>
    <w:uiPriority w:val="99"/>
    <w:rPr>
      <w:rFonts w:ascii="宋体" w:hAnsi="Times New Roman"/>
      <w:kern w:val="0"/>
      <w:sz w:val="18"/>
      <w:szCs w:val="18"/>
    </w:rPr>
  </w:style>
  <w:style w:type="paragraph" w:styleId="9">
    <w:name w:val="annotation text"/>
    <w:basedOn w:val="1"/>
    <w:link w:val="44"/>
    <w:qFormat/>
    <w:uiPriority w:val="99"/>
    <w:pPr>
      <w:jc w:val="left"/>
    </w:pPr>
    <w:rPr>
      <w:rFonts w:ascii="Calibri" w:hAnsi="Calibri"/>
    </w:rPr>
  </w:style>
  <w:style w:type="paragraph" w:styleId="10">
    <w:name w:val="Body Text 3"/>
    <w:basedOn w:val="1"/>
    <w:link w:val="47"/>
    <w:qFormat/>
    <w:uiPriority w:val="99"/>
    <w:pPr>
      <w:jc w:val="center"/>
    </w:pPr>
    <w:rPr>
      <w:rFonts w:ascii="宋体" w:hAnsi="Times New Roman" w:eastAsia="黑体"/>
      <w:kern w:val="0"/>
      <w:sz w:val="44"/>
      <w:szCs w:val="20"/>
    </w:rPr>
  </w:style>
  <w:style w:type="paragraph" w:styleId="11">
    <w:name w:val="Body Text"/>
    <w:basedOn w:val="1"/>
    <w:link w:val="43"/>
    <w:qFormat/>
    <w:uiPriority w:val="99"/>
    <w:pPr>
      <w:spacing w:after="120"/>
    </w:pPr>
    <w:rPr>
      <w:rFonts w:ascii="宋体" w:hAnsi="Times New Roman"/>
      <w:kern w:val="0"/>
      <w:sz w:val="34"/>
      <w:szCs w:val="20"/>
    </w:rPr>
  </w:style>
  <w:style w:type="paragraph" w:styleId="12">
    <w:name w:val="Body Text Indent"/>
    <w:basedOn w:val="1"/>
    <w:link w:val="48"/>
    <w:qFormat/>
    <w:uiPriority w:val="0"/>
    <w:pPr>
      <w:spacing w:after="120"/>
      <w:ind w:left="420" w:leftChars="200"/>
    </w:pPr>
    <w:rPr>
      <w:rFonts w:ascii="宋体" w:hAnsi="Calibri"/>
      <w:kern w:val="0"/>
      <w:sz w:val="34"/>
      <w:szCs w:val="20"/>
    </w:rPr>
  </w:style>
  <w:style w:type="paragraph" w:styleId="13">
    <w:name w:val="toc 5"/>
    <w:basedOn w:val="1"/>
    <w:next w:val="1"/>
    <w:qFormat/>
    <w:uiPriority w:val="39"/>
    <w:pPr>
      <w:ind w:left="1680" w:leftChars="800"/>
    </w:pPr>
    <w:rPr>
      <w:rFonts w:ascii="Calibri" w:hAnsi="Calibri"/>
      <w:szCs w:val="22"/>
    </w:rPr>
  </w:style>
  <w:style w:type="paragraph" w:styleId="14">
    <w:name w:val="toc 3"/>
    <w:basedOn w:val="1"/>
    <w:next w:val="1"/>
    <w:qFormat/>
    <w:uiPriority w:val="39"/>
    <w:pPr>
      <w:spacing w:line="272" w:lineRule="exact"/>
      <w:ind w:left="940"/>
      <w:jc w:val="left"/>
    </w:pPr>
    <w:rPr>
      <w:rFonts w:ascii="宋体" w:hAnsi="宋体" w:cs="宋体"/>
      <w:kern w:val="0"/>
      <w:szCs w:val="21"/>
      <w:lang w:eastAsia="en-US"/>
    </w:rPr>
  </w:style>
  <w:style w:type="paragraph" w:styleId="15">
    <w:name w:val="Plain Text"/>
    <w:basedOn w:val="1"/>
    <w:link w:val="49"/>
    <w:qFormat/>
    <w:uiPriority w:val="0"/>
    <w:rPr>
      <w:rFonts w:ascii="宋体" w:hAnsi="Courier New"/>
      <w:szCs w:val="20"/>
    </w:rPr>
  </w:style>
  <w:style w:type="paragraph" w:styleId="16">
    <w:name w:val="toc 8"/>
    <w:basedOn w:val="1"/>
    <w:next w:val="1"/>
    <w:qFormat/>
    <w:uiPriority w:val="39"/>
    <w:pPr>
      <w:ind w:left="2940" w:leftChars="1400"/>
    </w:pPr>
    <w:rPr>
      <w:rFonts w:ascii="Calibri" w:hAnsi="Calibri"/>
      <w:szCs w:val="22"/>
    </w:rPr>
  </w:style>
  <w:style w:type="paragraph" w:styleId="17">
    <w:name w:val="Date"/>
    <w:basedOn w:val="1"/>
    <w:next w:val="1"/>
    <w:link w:val="50"/>
    <w:qFormat/>
    <w:uiPriority w:val="99"/>
    <w:pPr>
      <w:ind w:left="100" w:leftChars="2500"/>
    </w:pPr>
    <w:rPr>
      <w:rFonts w:ascii="宋体" w:hAnsi="Times New Roman"/>
      <w:kern w:val="0"/>
      <w:sz w:val="34"/>
      <w:szCs w:val="20"/>
    </w:rPr>
  </w:style>
  <w:style w:type="paragraph" w:styleId="18">
    <w:name w:val="Body Text Indent 2"/>
    <w:basedOn w:val="1"/>
    <w:link w:val="51"/>
    <w:qFormat/>
    <w:uiPriority w:val="0"/>
    <w:pPr>
      <w:spacing w:after="120" w:line="480" w:lineRule="auto"/>
      <w:ind w:left="420" w:leftChars="200"/>
    </w:pPr>
    <w:rPr>
      <w:rFonts w:ascii="宋体" w:hAnsi="Times New Roman"/>
      <w:kern w:val="0"/>
      <w:sz w:val="34"/>
      <w:szCs w:val="20"/>
    </w:rPr>
  </w:style>
  <w:style w:type="paragraph" w:styleId="19">
    <w:name w:val="Balloon Text"/>
    <w:basedOn w:val="1"/>
    <w:link w:val="52"/>
    <w:qFormat/>
    <w:uiPriority w:val="99"/>
    <w:rPr>
      <w:rFonts w:ascii="Calibri" w:hAnsi="Calibri"/>
      <w:sz w:val="18"/>
      <w:szCs w:val="18"/>
    </w:rPr>
  </w:style>
  <w:style w:type="paragraph" w:styleId="20">
    <w:name w:val="footer"/>
    <w:basedOn w:val="1"/>
    <w:link w:val="53"/>
    <w:qFormat/>
    <w:uiPriority w:val="99"/>
    <w:pPr>
      <w:tabs>
        <w:tab w:val="center" w:pos="4153"/>
        <w:tab w:val="right" w:pos="8306"/>
      </w:tabs>
      <w:jc w:val="left"/>
    </w:pPr>
    <w:rPr>
      <w:rFonts w:ascii="宋体" w:hAnsi="Times New Roman"/>
      <w:kern w:val="0"/>
      <w:sz w:val="18"/>
      <w:szCs w:val="20"/>
    </w:rPr>
  </w:style>
  <w:style w:type="paragraph" w:styleId="21">
    <w:name w:val="header"/>
    <w:basedOn w:val="1"/>
    <w:link w:val="54"/>
    <w:qFormat/>
    <w:uiPriority w:val="99"/>
    <w:pPr>
      <w:pBdr>
        <w:bottom w:val="single" w:color="auto" w:sz="6" w:space="1"/>
      </w:pBdr>
      <w:tabs>
        <w:tab w:val="center" w:pos="4153"/>
        <w:tab w:val="right" w:pos="8306"/>
      </w:tabs>
      <w:jc w:val="center"/>
    </w:pPr>
    <w:rPr>
      <w:rFonts w:ascii="宋体" w:hAnsi="Times New Roman"/>
      <w:kern w:val="0"/>
      <w:sz w:val="18"/>
      <w:szCs w:val="20"/>
    </w:rPr>
  </w:style>
  <w:style w:type="paragraph" w:styleId="22">
    <w:name w:val="toc 1"/>
    <w:basedOn w:val="1"/>
    <w:next w:val="1"/>
    <w:qFormat/>
    <w:uiPriority w:val="39"/>
    <w:pPr>
      <w:tabs>
        <w:tab w:val="right" w:leader="dot" w:pos="8949"/>
      </w:tabs>
      <w:spacing w:beforeLines="200" w:afterLines="200" w:line="480" w:lineRule="auto"/>
    </w:pPr>
    <w:rPr>
      <w:rFonts w:ascii="宋体" w:hAnsi="Times New Roman"/>
      <w:kern w:val="0"/>
      <w:sz w:val="34"/>
      <w:szCs w:val="20"/>
    </w:rPr>
  </w:style>
  <w:style w:type="paragraph" w:styleId="23">
    <w:name w:val="toc 4"/>
    <w:basedOn w:val="1"/>
    <w:next w:val="1"/>
    <w:qFormat/>
    <w:uiPriority w:val="39"/>
    <w:pPr>
      <w:ind w:left="1260" w:leftChars="600"/>
    </w:pPr>
    <w:rPr>
      <w:rFonts w:ascii="Calibri" w:hAnsi="Calibri"/>
      <w:szCs w:val="22"/>
    </w:rPr>
  </w:style>
  <w:style w:type="paragraph" w:styleId="24">
    <w:name w:val="toc 6"/>
    <w:basedOn w:val="1"/>
    <w:next w:val="1"/>
    <w:qFormat/>
    <w:uiPriority w:val="39"/>
    <w:pPr>
      <w:ind w:left="2100" w:leftChars="1000"/>
    </w:pPr>
    <w:rPr>
      <w:rFonts w:ascii="Calibri" w:hAnsi="Calibri"/>
      <w:szCs w:val="22"/>
    </w:rPr>
  </w:style>
  <w:style w:type="paragraph" w:styleId="25">
    <w:name w:val="Body Text Indent 3"/>
    <w:basedOn w:val="1"/>
    <w:link w:val="55"/>
    <w:qFormat/>
    <w:uiPriority w:val="0"/>
    <w:pPr>
      <w:spacing w:after="120"/>
      <w:ind w:left="420" w:leftChars="200"/>
    </w:pPr>
    <w:rPr>
      <w:rFonts w:ascii="宋体" w:hAnsi="Times New Roman"/>
      <w:kern w:val="0"/>
      <w:sz w:val="16"/>
      <w:szCs w:val="16"/>
    </w:rPr>
  </w:style>
  <w:style w:type="paragraph" w:styleId="26">
    <w:name w:val="index 7"/>
    <w:basedOn w:val="1"/>
    <w:next w:val="1"/>
    <w:qFormat/>
    <w:uiPriority w:val="99"/>
    <w:pPr>
      <w:ind w:left="1200" w:leftChars="1200"/>
    </w:pPr>
  </w:style>
  <w:style w:type="paragraph" w:styleId="27">
    <w:name w:val="toc 2"/>
    <w:basedOn w:val="1"/>
    <w:next w:val="1"/>
    <w:qFormat/>
    <w:uiPriority w:val="39"/>
    <w:pPr>
      <w:spacing w:line="272" w:lineRule="exact"/>
      <w:ind w:left="520"/>
      <w:jc w:val="left"/>
    </w:pPr>
    <w:rPr>
      <w:rFonts w:ascii="宋体" w:hAnsi="宋体" w:cs="宋体"/>
      <w:kern w:val="0"/>
      <w:szCs w:val="21"/>
      <w:lang w:eastAsia="en-US"/>
    </w:rPr>
  </w:style>
  <w:style w:type="paragraph" w:styleId="28">
    <w:name w:val="toc 9"/>
    <w:basedOn w:val="1"/>
    <w:next w:val="1"/>
    <w:qFormat/>
    <w:uiPriority w:val="39"/>
    <w:pPr>
      <w:ind w:left="3360" w:leftChars="1600"/>
    </w:pPr>
    <w:rPr>
      <w:rFonts w:ascii="Calibri" w:hAnsi="Calibri"/>
      <w:szCs w:val="22"/>
    </w:rPr>
  </w:style>
  <w:style w:type="paragraph" w:styleId="29">
    <w:name w:val="Normal (Web)"/>
    <w:basedOn w:val="1"/>
    <w:qFormat/>
    <w:uiPriority w:val="0"/>
    <w:pPr>
      <w:widowControl/>
      <w:spacing w:before="100" w:beforeAutospacing="1" w:after="100" w:afterAutospacing="1"/>
      <w:jc w:val="left"/>
    </w:pPr>
    <w:rPr>
      <w:rFonts w:ascii="宋体" w:hAnsi="宋体"/>
      <w:kern w:val="0"/>
      <w:sz w:val="18"/>
      <w:szCs w:val="18"/>
    </w:rPr>
  </w:style>
  <w:style w:type="paragraph" w:styleId="30">
    <w:name w:val="Title"/>
    <w:basedOn w:val="1"/>
    <w:next w:val="1"/>
    <w:link w:val="56"/>
    <w:qFormat/>
    <w:uiPriority w:val="99"/>
    <w:pPr>
      <w:spacing w:before="240" w:after="60"/>
      <w:jc w:val="center"/>
      <w:outlineLvl w:val="0"/>
    </w:pPr>
    <w:rPr>
      <w:rFonts w:ascii="Cambria" w:hAnsi="Cambria"/>
      <w:b/>
      <w:bCs/>
      <w:sz w:val="32"/>
      <w:szCs w:val="32"/>
    </w:rPr>
  </w:style>
  <w:style w:type="paragraph" w:styleId="31">
    <w:name w:val="annotation subject"/>
    <w:basedOn w:val="9"/>
    <w:next w:val="9"/>
    <w:link w:val="45"/>
    <w:qFormat/>
    <w:uiPriority w:val="99"/>
    <w:rPr>
      <w:b/>
      <w:bCs/>
    </w:rPr>
  </w:style>
  <w:style w:type="table" w:styleId="33">
    <w:name w:val="Table Grid"/>
    <w:basedOn w:val="32"/>
    <w:qFormat/>
    <w:uiPriority w:val="9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character" w:styleId="35">
    <w:name w:val="Strong"/>
    <w:basedOn w:val="34"/>
    <w:qFormat/>
    <w:uiPriority w:val="99"/>
    <w:rPr>
      <w:rFonts w:cs="Times New Roman"/>
      <w:b/>
    </w:rPr>
  </w:style>
  <w:style w:type="character" w:styleId="36">
    <w:name w:val="page number"/>
    <w:basedOn w:val="34"/>
    <w:qFormat/>
    <w:uiPriority w:val="0"/>
    <w:rPr>
      <w:rFonts w:cs="Times New Roman"/>
    </w:rPr>
  </w:style>
  <w:style w:type="character" w:styleId="37">
    <w:name w:val="Hyperlink"/>
    <w:qFormat/>
    <w:uiPriority w:val="99"/>
    <w:rPr>
      <w:rFonts w:cs="Times New Roman"/>
      <w:color w:val="0000FF"/>
      <w:u w:val="single"/>
    </w:rPr>
  </w:style>
  <w:style w:type="character" w:styleId="38">
    <w:name w:val="annotation reference"/>
    <w:basedOn w:val="34"/>
    <w:qFormat/>
    <w:uiPriority w:val="99"/>
    <w:rPr>
      <w:rFonts w:cs="Times New Roman"/>
      <w:sz w:val="21"/>
    </w:rPr>
  </w:style>
  <w:style w:type="character" w:customStyle="1" w:styleId="39">
    <w:name w:val="标题 1 字符"/>
    <w:qFormat/>
    <w:uiPriority w:val="99"/>
    <w:rPr>
      <w:rFonts w:ascii="宋体" w:hAnsi="Times New Roman"/>
      <w:b/>
      <w:bCs/>
      <w:kern w:val="44"/>
      <w:sz w:val="44"/>
      <w:szCs w:val="44"/>
    </w:rPr>
  </w:style>
  <w:style w:type="character" w:customStyle="1" w:styleId="40">
    <w:name w:val="标题 2 字符"/>
    <w:link w:val="3"/>
    <w:qFormat/>
    <w:uiPriority w:val="99"/>
    <w:rPr>
      <w:rFonts w:ascii="Arial" w:hAnsi="Arial" w:eastAsia="宋体"/>
      <w:b/>
      <w:kern w:val="2"/>
      <w:sz w:val="30"/>
    </w:rPr>
  </w:style>
  <w:style w:type="character" w:customStyle="1" w:styleId="41">
    <w:name w:val="标题 3 字符"/>
    <w:link w:val="4"/>
    <w:qFormat/>
    <w:uiPriority w:val="99"/>
    <w:rPr>
      <w:rFonts w:ascii="宋体" w:hAnsi="宋体" w:eastAsia="宋体" w:cs="Times New Roman"/>
      <w:b/>
      <w:bCs/>
      <w:sz w:val="28"/>
      <w:szCs w:val="32"/>
    </w:rPr>
  </w:style>
  <w:style w:type="character" w:customStyle="1" w:styleId="42">
    <w:name w:val="标题 4 字符"/>
    <w:link w:val="5"/>
    <w:qFormat/>
    <w:uiPriority w:val="99"/>
    <w:rPr>
      <w:rFonts w:ascii="Times New Roman" w:hAnsi="Times New Roman" w:eastAsia="宋体" w:cs="Times New Roman"/>
      <w:b/>
      <w:bCs/>
      <w:sz w:val="21"/>
      <w:szCs w:val="21"/>
    </w:rPr>
  </w:style>
  <w:style w:type="character" w:customStyle="1" w:styleId="43">
    <w:name w:val="正文文本 字符"/>
    <w:link w:val="11"/>
    <w:qFormat/>
    <w:uiPriority w:val="99"/>
    <w:rPr>
      <w:rFonts w:ascii="宋体" w:hAnsi="Times New Roman" w:eastAsia="宋体" w:cs="Times New Roman"/>
      <w:sz w:val="34"/>
    </w:rPr>
  </w:style>
  <w:style w:type="character" w:customStyle="1" w:styleId="44">
    <w:name w:val="批注文字 字符"/>
    <w:link w:val="9"/>
    <w:qFormat/>
    <w:uiPriority w:val="99"/>
    <w:rPr>
      <w:kern w:val="2"/>
      <w:sz w:val="24"/>
    </w:rPr>
  </w:style>
  <w:style w:type="character" w:customStyle="1" w:styleId="45">
    <w:name w:val="批注主题 字符"/>
    <w:link w:val="31"/>
    <w:qFormat/>
    <w:uiPriority w:val="99"/>
    <w:rPr>
      <w:b/>
      <w:kern w:val="2"/>
      <w:sz w:val="24"/>
    </w:rPr>
  </w:style>
  <w:style w:type="character" w:customStyle="1" w:styleId="46">
    <w:name w:val="文档结构图 字符"/>
    <w:link w:val="8"/>
    <w:qFormat/>
    <w:uiPriority w:val="99"/>
    <w:rPr>
      <w:rFonts w:ascii="宋体" w:hAnsi="Times New Roman" w:eastAsia="宋体" w:cs="Times New Roman"/>
      <w:sz w:val="18"/>
      <w:szCs w:val="18"/>
    </w:rPr>
  </w:style>
  <w:style w:type="character" w:customStyle="1" w:styleId="47">
    <w:name w:val="正文文本 3 字符"/>
    <w:link w:val="10"/>
    <w:qFormat/>
    <w:uiPriority w:val="99"/>
    <w:rPr>
      <w:rFonts w:ascii="宋体" w:hAnsi="Times New Roman"/>
      <w:kern w:val="0"/>
      <w:sz w:val="16"/>
      <w:szCs w:val="16"/>
    </w:rPr>
  </w:style>
  <w:style w:type="character" w:customStyle="1" w:styleId="48">
    <w:name w:val="正文文本缩进 字符"/>
    <w:link w:val="12"/>
    <w:qFormat/>
    <w:uiPriority w:val="0"/>
    <w:rPr>
      <w:rFonts w:ascii="宋体"/>
      <w:sz w:val="34"/>
    </w:rPr>
  </w:style>
  <w:style w:type="character" w:customStyle="1" w:styleId="49">
    <w:name w:val="纯文本 字符"/>
    <w:link w:val="15"/>
    <w:qFormat/>
    <w:uiPriority w:val="0"/>
    <w:rPr>
      <w:rFonts w:ascii="宋体" w:hAnsi="Courier New" w:eastAsia="宋体"/>
      <w:kern w:val="2"/>
      <w:sz w:val="21"/>
      <w:lang w:val="en-US" w:eastAsia="zh-CN"/>
    </w:rPr>
  </w:style>
  <w:style w:type="character" w:customStyle="1" w:styleId="50">
    <w:name w:val="日期 字符"/>
    <w:link w:val="17"/>
    <w:qFormat/>
    <w:uiPriority w:val="99"/>
    <w:rPr>
      <w:rFonts w:ascii="宋体" w:hAnsi="Times New Roman"/>
      <w:kern w:val="0"/>
      <w:sz w:val="34"/>
      <w:szCs w:val="20"/>
    </w:rPr>
  </w:style>
  <w:style w:type="character" w:customStyle="1" w:styleId="51">
    <w:name w:val="正文文本缩进 2 字符"/>
    <w:link w:val="18"/>
    <w:qFormat/>
    <w:uiPriority w:val="99"/>
    <w:rPr>
      <w:rFonts w:ascii="宋体" w:hAnsi="Times New Roman"/>
      <w:kern w:val="0"/>
      <w:sz w:val="34"/>
      <w:szCs w:val="20"/>
    </w:rPr>
  </w:style>
  <w:style w:type="character" w:customStyle="1" w:styleId="52">
    <w:name w:val="批注框文本 字符"/>
    <w:link w:val="19"/>
    <w:qFormat/>
    <w:uiPriority w:val="99"/>
    <w:rPr>
      <w:kern w:val="2"/>
      <w:sz w:val="18"/>
    </w:rPr>
  </w:style>
  <w:style w:type="character" w:customStyle="1" w:styleId="53">
    <w:name w:val="页脚 字符"/>
    <w:link w:val="20"/>
    <w:qFormat/>
    <w:uiPriority w:val="99"/>
    <w:rPr>
      <w:rFonts w:ascii="宋体" w:hAnsi="Times New Roman"/>
      <w:kern w:val="0"/>
      <w:sz w:val="18"/>
      <w:szCs w:val="18"/>
    </w:rPr>
  </w:style>
  <w:style w:type="character" w:customStyle="1" w:styleId="54">
    <w:name w:val="页眉 字符"/>
    <w:link w:val="21"/>
    <w:qFormat/>
    <w:uiPriority w:val="99"/>
    <w:rPr>
      <w:rFonts w:ascii="宋体" w:hAnsi="Times New Roman"/>
      <w:kern w:val="0"/>
      <w:sz w:val="18"/>
      <w:szCs w:val="18"/>
    </w:rPr>
  </w:style>
  <w:style w:type="character" w:customStyle="1" w:styleId="55">
    <w:name w:val="正文文本缩进 3 字符"/>
    <w:link w:val="25"/>
    <w:qFormat/>
    <w:uiPriority w:val="0"/>
    <w:rPr>
      <w:rFonts w:ascii="宋体" w:hAnsi="Times New Roman"/>
      <w:kern w:val="0"/>
      <w:sz w:val="16"/>
      <w:szCs w:val="16"/>
    </w:rPr>
  </w:style>
  <w:style w:type="character" w:customStyle="1" w:styleId="56">
    <w:name w:val="标题 字符"/>
    <w:link w:val="30"/>
    <w:qFormat/>
    <w:uiPriority w:val="99"/>
    <w:rPr>
      <w:rFonts w:ascii="Cambria" w:hAnsi="Cambria"/>
      <w:b/>
      <w:kern w:val="2"/>
      <w:sz w:val="32"/>
    </w:rPr>
  </w:style>
  <w:style w:type="character" w:customStyle="1" w:styleId="57">
    <w:name w:val="（符号）邀请函中一、"/>
    <w:qFormat/>
    <w:uiPriority w:val="0"/>
    <w:rPr>
      <w:rFonts w:ascii="黑体" w:hAnsi="黑体" w:eastAsia="黑体"/>
      <w:b/>
      <w:sz w:val="24"/>
    </w:rPr>
  </w:style>
  <w:style w:type="character" w:customStyle="1" w:styleId="58">
    <w:name w:val="正文缩进 字符1"/>
    <w:link w:val="7"/>
    <w:qFormat/>
    <w:uiPriority w:val="0"/>
    <w:rPr>
      <w:rFonts w:eastAsia="宋体"/>
      <w:kern w:val="2"/>
      <w:sz w:val="24"/>
      <w:lang w:val="en-US" w:eastAsia="zh-CN"/>
    </w:rPr>
  </w:style>
  <w:style w:type="character" w:customStyle="1" w:styleId="59">
    <w:name w:val="font91"/>
    <w:qFormat/>
    <w:uiPriority w:val="99"/>
    <w:rPr>
      <w:rFonts w:ascii="宋体" w:hAnsi="宋体" w:eastAsia="宋体"/>
      <w:color w:val="FF0000"/>
      <w:sz w:val="21"/>
      <w:u w:val="single"/>
    </w:rPr>
  </w:style>
  <w:style w:type="character" w:customStyle="1" w:styleId="60">
    <w:name w:val="font31"/>
    <w:qFormat/>
    <w:uiPriority w:val="99"/>
    <w:rPr>
      <w:rFonts w:ascii="宋体" w:hAnsi="宋体" w:eastAsia="宋体"/>
      <w:color w:val="000000"/>
      <w:sz w:val="21"/>
      <w:u w:val="none"/>
    </w:rPr>
  </w:style>
  <w:style w:type="character" w:customStyle="1" w:styleId="61">
    <w:name w:val="表格 Char Char"/>
    <w:link w:val="62"/>
    <w:qFormat/>
    <w:uiPriority w:val="99"/>
    <w:rPr>
      <w:kern w:val="2"/>
      <w:sz w:val="24"/>
    </w:rPr>
  </w:style>
  <w:style w:type="paragraph" w:customStyle="1" w:styleId="62">
    <w:name w:val="表格"/>
    <w:basedOn w:val="1"/>
    <w:link w:val="61"/>
    <w:qFormat/>
    <w:uiPriority w:val="0"/>
    <w:pPr>
      <w:spacing w:line="400" w:lineRule="exact"/>
    </w:pPr>
    <w:rPr>
      <w:rFonts w:ascii="Calibri" w:hAnsi="Calibri"/>
    </w:rPr>
  </w:style>
  <w:style w:type="character" w:customStyle="1" w:styleId="63">
    <w:name w:val="font01"/>
    <w:qFormat/>
    <w:uiPriority w:val="99"/>
    <w:rPr>
      <w:rFonts w:ascii="宋体" w:hAnsi="宋体" w:eastAsia="宋体"/>
      <w:color w:val="FF0000"/>
      <w:sz w:val="21"/>
      <w:u w:val="none"/>
    </w:rPr>
  </w:style>
  <w:style w:type="character" w:customStyle="1" w:styleId="64">
    <w:name w:val="font101"/>
    <w:qFormat/>
    <w:uiPriority w:val="99"/>
    <w:rPr>
      <w:rFonts w:ascii="宋体" w:hAnsi="宋体" w:eastAsia="宋体"/>
      <w:color w:val="000000"/>
      <w:sz w:val="21"/>
      <w:u w:val="single"/>
    </w:rPr>
  </w:style>
  <w:style w:type="character" w:customStyle="1" w:styleId="65">
    <w:name w:val="font111"/>
    <w:qFormat/>
    <w:uiPriority w:val="99"/>
    <w:rPr>
      <w:rFonts w:ascii="E?" w:hAnsi="E?" w:eastAsia="Times New Roman"/>
      <w:color w:val="000000"/>
      <w:sz w:val="21"/>
      <w:u w:val="single"/>
    </w:rPr>
  </w:style>
  <w:style w:type="paragraph" w:customStyle="1" w:styleId="66">
    <w:name w:val="正文首行缩进两字符"/>
    <w:basedOn w:val="1"/>
    <w:qFormat/>
    <w:uiPriority w:val="0"/>
    <w:pPr>
      <w:ind w:firstLine="200" w:firstLineChars="200"/>
    </w:pPr>
    <w:rPr>
      <w:rFonts w:ascii="宋体" w:hAnsi="Times New Roman"/>
      <w:kern w:val="0"/>
      <w:sz w:val="34"/>
      <w:szCs w:val="20"/>
    </w:rPr>
  </w:style>
  <w:style w:type="paragraph" w:customStyle="1" w:styleId="67">
    <w:name w:val="正文段落"/>
    <w:basedOn w:val="1"/>
    <w:qFormat/>
    <w:uiPriority w:val="99"/>
    <w:pPr>
      <w:spacing w:line="300" w:lineRule="auto"/>
      <w:ind w:firstLine="510"/>
    </w:pPr>
    <w:rPr>
      <w:rFonts w:ascii="宋体" w:hAnsi="Times New Roman"/>
      <w:sz w:val="34"/>
      <w:szCs w:val="20"/>
    </w:rPr>
  </w:style>
  <w:style w:type="paragraph" w:customStyle="1" w:styleId="68">
    <w:name w:val="正文1"/>
    <w:qFormat/>
    <w:uiPriority w:val="99"/>
    <w:pPr>
      <w:widowControl w:val="0"/>
      <w:adjustRightInd w:val="0"/>
      <w:spacing w:line="312" w:lineRule="atLeast"/>
      <w:jc w:val="both"/>
      <w:textAlignment w:val="baseline"/>
    </w:pPr>
    <w:rPr>
      <w:rFonts w:ascii="宋体" w:hAnsi="Times New Roman" w:eastAsia="宋体" w:cs="Times New Roman"/>
      <w:sz w:val="34"/>
      <w:lang w:val="en-US" w:eastAsia="zh-CN" w:bidi="ar-SA"/>
    </w:rPr>
  </w:style>
  <w:style w:type="paragraph" w:customStyle="1" w:styleId="69">
    <w:name w:val="样式"/>
    <w:link w:val="87"/>
    <w:qFormat/>
    <w:uiPriority w:val="99"/>
    <w:pPr>
      <w:widowControl w:val="0"/>
      <w:autoSpaceDE w:val="0"/>
      <w:autoSpaceDN w:val="0"/>
      <w:adjustRightInd w:val="0"/>
    </w:pPr>
    <w:rPr>
      <w:rFonts w:ascii="宋体" w:hAnsi="宋体" w:eastAsia="宋体" w:cs="宋体"/>
      <w:sz w:val="24"/>
      <w:szCs w:val="24"/>
      <w:lang w:val="en-US" w:eastAsia="zh-CN" w:bidi="ar-SA"/>
    </w:rPr>
  </w:style>
  <w:style w:type="paragraph" w:customStyle="1" w:styleId="70">
    <w:name w:val="样式 首行缩进:  2 字符"/>
    <w:basedOn w:val="1"/>
    <w:qFormat/>
    <w:uiPriority w:val="0"/>
    <w:pPr>
      <w:spacing w:line="400" w:lineRule="exact"/>
      <w:ind w:firstLine="200" w:firstLineChars="200"/>
    </w:pPr>
    <w:rPr>
      <w:rFonts w:ascii="宋体" w:hAnsi="Times New Roman" w:cs="宋体"/>
      <w:kern w:val="0"/>
      <w:szCs w:val="20"/>
    </w:rPr>
  </w:style>
  <w:style w:type="paragraph" w:customStyle="1" w:styleId="71">
    <w:name w:val="列出段落1"/>
    <w:basedOn w:val="1"/>
    <w:qFormat/>
    <w:uiPriority w:val="99"/>
    <w:pPr>
      <w:ind w:firstLine="420" w:firstLineChars="200"/>
    </w:pPr>
    <w:rPr>
      <w:rFonts w:ascii="宋体" w:hAnsi="Times New Roman"/>
      <w:kern w:val="0"/>
      <w:sz w:val="18"/>
      <w:szCs w:val="18"/>
    </w:rPr>
  </w:style>
  <w:style w:type="paragraph" w:customStyle="1" w:styleId="72">
    <w:name w:val="列表段落1"/>
    <w:basedOn w:val="1"/>
    <w:qFormat/>
    <w:uiPriority w:val="34"/>
    <w:pPr>
      <w:ind w:firstLine="420" w:firstLineChars="200"/>
    </w:pPr>
    <w:rPr>
      <w:rFonts w:ascii="宋体" w:hAnsi="Times New Roman"/>
      <w:kern w:val="0"/>
      <w:sz w:val="34"/>
      <w:szCs w:val="20"/>
    </w:rPr>
  </w:style>
  <w:style w:type="paragraph" w:customStyle="1" w:styleId="73">
    <w:name w:val="Table Paragraph"/>
    <w:basedOn w:val="1"/>
    <w:qFormat/>
    <w:uiPriority w:val="99"/>
    <w:rPr>
      <w:rFonts w:ascii="宋体" w:hAnsi="Times New Roman"/>
      <w:kern w:val="0"/>
      <w:sz w:val="34"/>
      <w:szCs w:val="20"/>
    </w:rPr>
  </w:style>
  <w:style w:type="paragraph" w:customStyle="1" w:styleId="74">
    <w:name w:val="Normal1"/>
    <w:qFormat/>
    <w:uiPriority w:val="99"/>
    <w:pPr>
      <w:widowControl w:val="0"/>
      <w:adjustRightInd w:val="0"/>
      <w:spacing w:line="312" w:lineRule="atLeast"/>
      <w:jc w:val="both"/>
      <w:textAlignment w:val="baseline"/>
    </w:pPr>
    <w:rPr>
      <w:rFonts w:ascii="宋体" w:hAnsi="Calibri" w:eastAsia="宋体" w:cs="Times New Roman"/>
      <w:sz w:val="34"/>
      <w:lang w:val="en-US" w:eastAsia="zh-CN" w:bidi="ar-SA"/>
    </w:rPr>
  </w:style>
  <w:style w:type="paragraph" w:customStyle="1" w:styleId="75">
    <w:name w:val="正文2"/>
    <w:qFormat/>
    <w:uiPriority w:val="0"/>
    <w:pPr>
      <w:widowControl w:val="0"/>
      <w:adjustRightInd w:val="0"/>
      <w:spacing w:line="312" w:lineRule="atLeast"/>
      <w:jc w:val="both"/>
      <w:textAlignment w:val="baseline"/>
    </w:pPr>
    <w:rPr>
      <w:rFonts w:ascii="宋体" w:hAnsi="Times New Roman" w:eastAsia="宋体" w:cs="Times New Roman"/>
      <w:sz w:val="34"/>
      <w:lang w:val="en-US" w:eastAsia="zh-CN" w:bidi="ar-SA"/>
    </w:rPr>
  </w:style>
  <w:style w:type="table" w:customStyle="1" w:styleId="76">
    <w:name w:val="网格型1"/>
    <w:basedOn w:val="32"/>
    <w:qFormat/>
    <w:uiPriority w:val="39"/>
    <w:rPr>
      <w:rFonts w:ascii="等线" w:hAnsi="等线" w:eastAsia="等线"/>
      <w:kern w:val="2"/>
      <w:sz w:val="21"/>
      <w:szCs w:val="24"/>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77">
    <w:name w:val="正文缩进 字符"/>
    <w:link w:val="78"/>
    <w:qFormat/>
    <w:uiPriority w:val="0"/>
    <w:rPr>
      <w:kern w:val="2"/>
      <w:sz w:val="21"/>
      <w:szCs w:val="24"/>
    </w:rPr>
  </w:style>
  <w:style w:type="paragraph" w:customStyle="1" w:styleId="78">
    <w:name w:val="正文缩进1"/>
    <w:basedOn w:val="1"/>
    <w:link w:val="77"/>
    <w:qFormat/>
    <w:uiPriority w:val="0"/>
    <w:pPr>
      <w:ind w:firstLine="420" w:firstLineChars="200"/>
    </w:pPr>
    <w:rPr>
      <w:rFonts w:ascii="Calibri" w:hAnsi="Calibri"/>
    </w:rPr>
  </w:style>
  <w:style w:type="paragraph" w:customStyle="1" w:styleId="79">
    <w:name w:val="中文正文、"/>
    <w:basedOn w:val="1"/>
    <w:qFormat/>
    <w:uiPriority w:val="0"/>
    <w:pPr>
      <w:ind w:firstLine="420" w:firstLineChars="200"/>
    </w:pPr>
    <w:rPr>
      <w:rFonts w:ascii="Times New Roman" w:hAnsi="Times New Roman"/>
      <w:sz w:val="34"/>
      <w:szCs w:val="21"/>
    </w:rPr>
  </w:style>
  <w:style w:type="paragraph" w:customStyle="1" w:styleId="80">
    <w:name w:val="修订1"/>
    <w:qFormat/>
    <w:uiPriority w:val="99"/>
    <w:rPr>
      <w:rFonts w:ascii="等线" w:hAnsi="等线" w:eastAsia="等线" w:cs="Times New Roman"/>
      <w:kern w:val="2"/>
      <w:sz w:val="21"/>
      <w:szCs w:val="24"/>
      <w:lang w:val="en-US" w:eastAsia="zh-CN" w:bidi="ar-SA"/>
    </w:rPr>
  </w:style>
  <w:style w:type="table" w:customStyle="1" w:styleId="81">
    <w:name w:val="网格型2"/>
    <w:basedOn w:val="32"/>
    <w:qFormat/>
    <w:uiPriority w:val="99"/>
    <w:rPr>
      <w:rFonts w:ascii="Calibri" w:hAnsi="Calibri"/>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character" w:customStyle="1" w:styleId="82">
    <w:name w:val="Char Char9"/>
    <w:qFormat/>
    <w:uiPriority w:val="0"/>
    <w:rPr>
      <w:kern w:val="2"/>
      <w:sz w:val="21"/>
    </w:rPr>
  </w:style>
  <w:style w:type="character" w:customStyle="1" w:styleId="83">
    <w:name w:val="GW-正文 Char"/>
    <w:link w:val="84"/>
    <w:qFormat/>
    <w:uiPriority w:val="0"/>
    <w:rPr>
      <w:rFonts w:eastAsia="仿宋_GB2312"/>
      <w:kern w:val="2"/>
      <w:sz w:val="24"/>
      <w:szCs w:val="24"/>
    </w:rPr>
  </w:style>
  <w:style w:type="paragraph" w:customStyle="1" w:styleId="84">
    <w:name w:val="GW-正文"/>
    <w:basedOn w:val="1"/>
    <w:link w:val="83"/>
    <w:qFormat/>
    <w:uiPriority w:val="0"/>
    <w:pPr>
      <w:ind w:firstLine="200" w:firstLineChars="200"/>
    </w:pPr>
    <w:rPr>
      <w:rFonts w:ascii="Times New Roman" w:hAnsi="Times New Roman" w:eastAsia="仿宋_GB2312"/>
    </w:rPr>
  </w:style>
  <w:style w:type="character" w:customStyle="1" w:styleId="85">
    <w:name w:val="彩色列表 - 强调文字颜色 1 Char"/>
    <w:link w:val="86"/>
    <w:qFormat/>
    <w:uiPriority w:val="0"/>
    <w:rPr>
      <w:kern w:val="2"/>
      <w:sz w:val="21"/>
      <w:szCs w:val="24"/>
    </w:rPr>
  </w:style>
  <w:style w:type="paragraph" w:customStyle="1" w:styleId="86">
    <w:name w:val="彩色列表 - 强调文字颜色 11"/>
    <w:basedOn w:val="1"/>
    <w:link w:val="85"/>
    <w:qFormat/>
    <w:uiPriority w:val="0"/>
    <w:pPr>
      <w:ind w:firstLine="420" w:firstLineChars="200"/>
    </w:pPr>
    <w:rPr>
      <w:rFonts w:ascii="Times New Roman" w:hAnsi="Times New Roman"/>
    </w:rPr>
  </w:style>
  <w:style w:type="character" w:customStyle="1" w:styleId="87">
    <w:name w:val="样式 Char"/>
    <w:link w:val="69"/>
    <w:qFormat/>
    <w:uiPriority w:val="99"/>
    <w:rPr>
      <w:rFonts w:ascii="宋体" w:hAnsi="宋体" w:cs="宋体"/>
      <w:sz w:val="24"/>
      <w:szCs w:val="24"/>
    </w:rPr>
  </w:style>
  <w:style w:type="character" w:customStyle="1" w:styleId="88">
    <w:name w:val="批注文字 Char1"/>
    <w:qFormat/>
    <w:uiPriority w:val="0"/>
    <w:rPr>
      <w:kern w:val="2"/>
      <w:sz w:val="18"/>
      <w:lang w:bidi="ar-SA"/>
    </w:rPr>
  </w:style>
  <w:style w:type="character" w:customStyle="1" w:styleId="89">
    <w:name w:val="标题 2 Char Char"/>
    <w:qFormat/>
    <w:uiPriority w:val="99"/>
    <w:rPr>
      <w:rFonts w:ascii="Arial" w:hAnsi="Arial" w:eastAsia="黑体"/>
      <w:b/>
      <w:kern w:val="2"/>
      <w:sz w:val="32"/>
      <w:lang w:val="en-US" w:eastAsia="zh-CN"/>
    </w:rPr>
  </w:style>
  <w:style w:type="paragraph" w:customStyle="1" w:styleId="90">
    <w:name w:val="正文3"/>
    <w:qFormat/>
    <w:uiPriority w:val="0"/>
    <w:pPr>
      <w:widowControl w:val="0"/>
      <w:adjustRightInd w:val="0"/>
      <w:spacing w:line="312" w:lineRule="atLeast"/>
      <w:jc w:val="both"/>
      <w:textAlignment w:val="baseline"/>
    </w:pPr>
    <w:rPr>
      <w:rFonts w:ascii="宋体" w:hAnsi="Calibri" w:eastAsia="宋体" w:cs="Times New Roman"/>
      <w:sz w:val="34"/>
      <w:lang w:val="en-US" w:eastAsia="zh-CN" w:bidi="ar-SA"/>
    </w:rPr>
  </w:style>
  <w:style w:type="paragraph" w:customStyle="1" w:styleId="91">
    <w:name w:val="WPSOffice手动目录 1"/>
    <w:qFormat/>
    <w:uiPriority w:val="99"/>
    <w:rPr>
      <w:rFonts w:ascii="Calibri" w:hAnsi="Calibri" w:eastAsia="宋体" w:cs="Times New Roman"/>
      <w:lang w:val="en-US" w:eastAsia="zh-CN" w:bidi="ar-SA"/>
    </w:rPr>
  </w:style>
  <w:style w:type="paragraph" w:customStyle="1" w:styleId="92">
    <w:name w:val="浅色网格 - 强调文字颜色 31"/>
    <w:basedOn w:val="1"/>
    <w:qFormat/>
    <w:uiPriority w:val="99"/>
    <w:pPr>
      <w:jc w:val="left"/>
    </w:pPr>
    <w:rPr>
      <w:rFonts w:ascii="宋体" w:hAnsi="宋体" w:cs="宋体"/>
      <w:kern w:val="0"/>
      <w:sz w:val="22"/>
      <w:szCs w:val="22"/>
      <w:lang w:eastAsia="en-US"/>
    </w:rPr>
  </w:style>
  <w:style w:type="paragraph" w:customStyle="1" w:styleId="93">
    <w:name w:val="Char Char Char Char Char Char Char Char Char Char Char Char Char Char1 Char Char Char Char"/>
    <w:basedOn w:val="1"/>
    <w:qFormat/>
    <w:uiPriority w:val="0"/>
    <w:rPr>
      <w:rFonts w:ascii="Calibri" w:hAnsi="Calibri"/>
      <w:szCs w:val="21"/>
    </w:rPr>
  </w:style>
  <w:style w:type="paragraph" w:customStyle="1" w:styleId="94">
    <w:name w:val="目录标题1"/>
    <w:basedOn w:val="2"/>
    <w:next w:val="1"/>
    <w:qFormat/>
    <w:uiPriority w:val="39"/>
    <w:pPr>
      <w:widowControl/>
      <w:spacing w:before="480" w:line="276" w:lineRule="auto"/>
      <w:jc w:val="left"/>
      <w:outlineLvl w:val="9"/>
    </w:pPr>
    <w:rPr>
      <w:rFonts w:ascii="Cambria" w:hAnsi="Cambria"/>
      <w:color w:val="365F91"/>
      <w:kern w:val="0"/>
      <w:sz w:val="28"/>
      <w:szCs w:val="28"/>
    </w:rPr>
  </w:style>
  <w:style w:type="paragraph" w:customStyle="1" w:styleId="95">
    <w:name w:val="目录标题11"/>
    <w:basedOn w:val="2"/>
    <w:next w:val="1"/>
    <w:qFormat/>
    <w:uiPriority w:val="39"/>
    <w:pPr>
      <w:widowControl/>
      <w:spacing w:before="480" w:line="276" w:lineRule="auto"/>
      <w:jc w:val="left"/>
      <w:outlineLvl w:val="9"/>
    </w:pPr>
    <w:rPr>
      <w:rFonts w:ascii="Cambria" w:hAnsi="Cambria"/>
      <w:color w:val="365F91"/>
      <w:kern w:val="0"/>
      <w:sz w:val="28"/>
      <w:szCs w:val="28"/>
    </w:rPr>
  </w:style>
  <w:style w:type="paragraph" w:customStyle="1" w:styleId="96">
    <w:name w:val="章标题"/>
    <w:next w:val="1"/>
    <w:qFormat/>
    <w:uiPriority w:val="99"/>
    <w:pPr>
      <w:adjustRightInd w:val="0"/>
      <w:snapToGrid w:val="0"/>
      <w:spacing w:line="360" w:lineRule="auto"/>
      <w:jc w:val="both"/>
      <w:outlineLvl w:val="1"/>
    </w:pPr>
    <w:rPr>
      <w:rFonts w:ascii="宋体" w:hAnsi="宋体" w:eastAsia="宋体" w:cs="Times New Roman"/>
      <w:b/>
      <w:sz w:val="24"/>
      <w:szCs w:val="22"/>
      <w:lang w:val="en-US" w:eastAsia="zh-CN" w:bidi="ar-SA"/>
    </w:rPr>
  </w:style>
  <w:style w:type="paragraph" w:customStyle="1" w:styleId="97">
    <w:name w:val="任务书正文"/>
    <w:qFormat/>
    <w:uiPriority w:val="99"/>
    <w:pPr>
      <w:adjustRightInd w:val="0"/>
      <w:snapToGrid w:val="0"/>
      <w:spacing w:line="360" w:lineRule="auto"/>
      <w:ind w:left="1814" w:firstLine="200" w:firstLineChars="200"/>
    </w:pPr>
    <w:rPr>
      <w:rFonts w:ascii="Calibri" w:hAnsi="Calibri" w:eastAsia="宋体" w:cs="Times New Roman"/>
      <w:kern w:val="2"/>
      <w:sz w:val="28"/>
      <w:szCs w:val="24"/>
      <w:lang w:val="en-US" w:eastAsia="zh-CN" w:bidi="ar-SA"/>
    </w:rPr>
  </w:style>
  <w:style w:type="paragraph" w:customStyle="1" w:styleId="98">
    <w:name w:val="任务书标题3"/>
    <w:next w:val="1"/>
    <w:qFormat/>
    <w:uiPriority w:val="99"/>
    <w:pPr>
      <w:tabs>
        <w:tab w:val="left" w:pos="2125"/>
      </w:tabs>
      <w:adjustRightInd w:val="0"/>
      <w:snapToGrid w:val="0"/>
      <w:spacing w:line="360" w:lineRule="auto"/>
      <w:outlineLvl w:val="2"/>
    </w:pPr>
    <w:rPr>
      <w:rFonts w:ascii="Calibri" w:hAnsi="Calibri" w:eastAsia="宋体" w:cs="Times New Roman"/>
      <w:kern w:val="2"/>
      <w:sz w:val="28"/>
      <w:szCs w:val="24"/>
      <w:lang w:val="en-US" w:eastAsia="zh-CN" w:bidi="ar-SA"/>
    </w:rPr>
  </w:style>
  <w:style w:type="paragraph" w:customStyle="1" w:styleId="99">
    <w:name w:val="任务书－题注"/>
    <w:qFormat/>
    <w:uiPriority w:val="99"/>
    <w:pPr>
      <w:adjustRightInd w:val="0"/>
      <w:snapToGrid w:val="0"/>
      <w:ind w:left="1701"/>
      <w:jc w:val="center"/>
    </w:pPr>
    <w:rPr>
      <w:rFonts w:ascii="Cambria" w:hAnsi="Cambria" w:eastAsia="宋体" w:cs="Times New Roman"/>
      <w:kern w:val="2"/>
      <w:sz w:val="28"/>
      <w:szCs w:val="22"/>
      <w:lang w:val="en-US" w:eastAsia="zh-CN" w:bidi="ar-SA"/>
    </w:rPr>
  </w:style>
  <w:style w:type="paragraph" w:customStyle="1" w:styleId="100">
    <w:name w:val="任务书正文缩进"/>
    <w:basedOn w:val="1"/>
    <w:qFormat/>
    <w:uiPriority w:val="99"/>
    <w:pPr>
      <w:ind w:left="900" w:leftChars="900" w:firstLine="200" w:firstLineChars="200"/>
      <w:jc w:val="left"/>
    </w:pPr>
    <w:rPr>
      <w:rFonts w:ascii="宋体" w:hAnsi="宋体" w:cs="宋体"/>
      <w:kern w:val="0"/>
      <w:sz w:val="28"/>
      <w:szCs w:val="22"/>
      <w:lang w:eastAsia="en-US"/>
    </w:rPr>
  </w:style>
  <w:style w:type="paragraph" w:customStyle="1" w:styleId="101">
    <w:name w:val="图文"/>
    <w:basedOn w:val="1"/>
    <w:qFormat/>
    <w:uiPriority w:val="99"/>
    <w:pPr>
      <w:spacing w:after="50"/>
      <w:jc w:val="left"/>
    </w:pPr>
    <w:rPr>
      <w:rFonts w:ascii="宋体" w:hAnsi="宋体" w:cs="宋体"/>
      <w:kern w:val="0"/>
      <w:szCs w:val="22"/>
      <w:lang w:eastAsia="en-US"/>
    </w:rPr>
  </w:style>
  <w:style w:type="table" w:customStyle="1" w:styleId="102">
    <w:name w:val="网格型3"/>
    <w:basedOn w:val="32"/>
    <w:qFormat/>
    <w:uiPriority w:val="0"/>
    <w:pPr>
      <w:widowControl w:val="0"/>
      <w:jc w:val="both"/>
    </w:pPr>
    <w:rPr>
      <w:rFonts w:ascii="Calibri" w:hAnsi="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03">
    <w:name w:val="Table Normal1"/>
    <w:qFormat/>
    <w:uiPriority w:val="99"/>
    <w:rPr>
      <w:rFonts w:ascii="Calibri" w:hAnsi="Calibri"/>
    </w:rPr>
    <w:tblPr>
      <w:tblCellMar>
        <w:top w:w="0" w:type="dxa"/>
        <w:left w:w="0" w:type="dxa"/>
        <w:bottom w:w="0" w:type="dxa"/>
        <w:right w:w="0" w:type="dxa"/>
      </w:tblCellMar>
    </w:tblPr>
  </w:style>
  <w:style w:type="paragraph" w:customStyle="1" w:styleId="104">
    <w:name w:val="TOC 标题1"/>
    <w:basedOn w:val="2"/>
    <w:next w:val="1"/>
    <w:qFormat/>
    <w:uiPriority w:val="39"/>
    <w:pPr>
      <w:widowControl/>
      <w:spacing w:before="480" w:line="276" w:lineRule="auto"/>
      <w:jc w:val="left"/>
      <w:outlineLvl w:val="9"/>
    </w:pPr>
    <w:rPr>
      <w:rFonts w:ascii="Cambria" w:hAnsi="Cambria" w:cs="宋体"/>
      <w:color w:val="366091"/>
      <w:kern w:val="0"/>
      <w:sz w:val="28"/>
      <w:szCs w:val="28"/>
    </w:rPr>
  </w:style>
  <w:style w:type="paragraph" w:customStyle="1" w:styleId="105">
    <w:name w:val="reader-word-layer"/>
    <w:basedOn w:val="1"/>
    <w:qFormat/>
    <w:uiPriority w:val="0"/>
    <w:pPr>
      <w:widowControl/>
      <w:spacing w:before="100" w:beforeAutospacing="1" w:after="100" w:afterAutospacing="1"/>
      <w:jc w:val="left"/>
    </w:pPr>
    <w:rPr>
      <w:rFonts w:ascii="宋体" w:hAnsi="宋体" w:cs="宋体"/>
      <w:kern w:val="0"/>
    </w:rPr>
  </w:style>
  <w:style w:type="paragraph" w:customStyle="1" w:styleId="106">
    <w:name w:val="1.1.1.1A"/>
    <w:basedOn w:val="1"/>
    <w:qFormat/>
    <w:uiPriority w:val="0"/>
    <w:pPr>
      <w:tabs>
        <w:tab w:val="left" w:pos="1134"/>
        <w:tab w:val="left" w:pos="1843"/>
      </w:tabs>
      <w:spacing w:before="60" w:after="60" w:line="400" w:lineRule="atLeast"/>
      <w:ind w:left="1560" w:right="200" w:rightChars="200" w:hanging="426"/>
      <w:textAlignment w:val="baseline"/>
    </w:pPr>
    <w:rPr>
      <w:rFonts w:ascii="Arial" w:hAnsi="Arial"/>
      <w:kern w:val="0"/>
      <w:szCs w:val="20"/>
    </w:rPr>
  </w:style>
  <w:style w:type="paragraph" w:customStyle="1" w:styleId="107">
    <w:name w:val="列表段落2"/>
    <w:basedOn w:val="1"/>
    <w:qFormat/>
    <w:uiPriority w:val="34"/>
    <w:pPr>
      <w:ind w:firstLine="420" w:firstLineChars="200"/>
    </w:pPr>
  </w:style>
  <w:style w:type="character" w:customStyle="1" w:styleId="108">
    <w:name w:val="font21"/>
    <w:basedOn w:val="34"/>
    <w:qFormat/>
    <w:uiPriority w:val="0"/>
    <w:rPr>
      <w:rFonts w:hint="eastAsia" w:ascii="宋体" w:hAnsi="宋体" w:eastAsia="宋体" w:cs="宋体"/>
      <w:color w:val="000000"/>
      <w:sz w:val="24"/>
      <w:szCs w:val="24"/>
      <w:u w:val="none"/>
    </w:rPr>
  </w:style>
  <w:style w:type="paragraph" w:customStyle="1" w:styleId="109">
    <w:name w:val="引用1"/>
    <w:basedOn w:val="1"/>
    <w:next w:val="1"/>
    <w:qFormat/>
    <w:uiPriority w:val="0"/>
    <w:pPr>
      <w:wordWrap w:val="0"/>
      <w:spacing w:before="200" w:after="160"/>
      <w:ind w:left="864" w:right="864"/>
      <w:jc w:val="center"/>
    </w:pPr>
    <w:rPr>
      <w:i/>
    </w:rPr>
  </w:style>
  <w:style w:type="paragraph" w:customStyle="1" w:styleId="110">
    <w:name w:val="修订2"/>
    <w:hidden/>
    <w:unhideWhenUsed/>
    <w:qFormat/>
    <w:uiPriority w:val="99"/>
    <w:rPr>
      <w:rFonts w:ascii="等线" w:hAnsi="等线" w:eastAsia="等线" w:cs="Times New Roman"/>
      <w:kern w:val="2"/>
      <w:sz w:val="21"/>
      <w:szCs w:val="24"/>
      <w:lang w:val="en-US" w:eastAsia="zh-CN" w:bidi="ar-SA"/>
    </w:rPr>
  </w:style>
  <w:style w:type="paragraph" w:customStyle="1" w:styleId="111">
    <w:name w:val="正文文本 (4)"/>
    <w:basedOn w:val="1"/>
    <w:qFormat/>
    <w:uiPriority w:val="99"/>
    <w:pPr>
      <w:shd w:val="clear" w:color="auto" w:fill="FFFFFF"/>
      <w:spacing w:before="240" w:after="1320" w:line="240" w:lineRule="atLeast"/>
      <w:jc w:val="center"/>
    </w:pPr>
    <w:rPr>
      <w:rFonts w:ascii="MingLiU" w:hAnsi="MingLiU" w:eastAsia="MingLiU" w:cs="MingLiU"/>
      <w:kern w:val="0"/>
      <w:sz w:val="26"/>
      <w:szCs w:val="26"/>
    </w:rPr>
  </w:style>
  <w:style w:type="character" w:customStyle="1" w:styleId="112">
    <w:name w:val="标题 1 字符1"/>
    <w:link w:val="2"/>
    <w:qFormat/>
    <w:uiPriority w:val="0"/>
    <w:rPr>
      <w:rFonts w:hAnsi="宋体" w:eastAsia="宋体"/>
      <w:b/>
      <w:kern w:val="2"/>
      <w:sz w:val="32"/>
      <w:szCs w:val="44"/>
      <w:lang w:val="en-US" w:eastAsia="zh-CN" w:bidi="ar-SA"/>
    </w:rPr>
  </w:style>
  <w:style w:type="paragraph" w:customStyle="1" w:styleId="113">
    <w:name w:val="正文 New New New New New New New New New New New New New New New New New New New New New New New New New New New New New New New New New New New New New New New New New New New New New New New New New New New New New New New New New New New New New"/>
    <w:qFormat/>
    <w:uiPriority w:val="0"/>
    <w:pPr>
      <w:widowControl w:val="0"/>
      <w:jc w:val="both"/>
    </w:pPr>
    <w:rPr>
      <w:rFonts w:ascii="Times New Roman" w:hAnsi="Times New Roman" w:eastAsia="宋体" w:cs="Times New Roman"/>
      <w:kern w:val="2"/>
      <w:sz w:val="21"/>
      <w:lang w:val="en-US" w:eastAsia="zh-CN" w:bidi="ar-SA"/>
    </w:rPr>
  </w:style>
  <w:style w:type="paragraph" w:customStyle="1" w:styleId="114">
    <w:name w:val="正文 New New New New New New New New New New New New New New New New New New New New New New New New New New New New New New New New New New New New New New New New New New New New New New New New New New New New New New New New New New New New"/>
    <w:qFormat/>
    <w:uiPriority w:val="0"/>
    <w:pPr>
      <w:widowControl w:val="0"/>
      <w:jc w:val="both"/>
    </w:pPr>
    <w:rPr>
      <w:rFonts w:ascii="Times New Roman" w:hAnsi="Times New Roman" w:eastAsia="宋体" w:cs="Times New Roman"/>
      <w:kern w:val="2"/>
      <w:sz w:val="21"/>
      <w:lang w:val="en-US" w:eastAsia="zh-CN" w:bidi="ar-SA"/>
    </w:rPr>
  </w:style>
  <w:style w:type="paragraph" w:customStyle="1" w:styleId="115">
    <w:name w:val="正文 New New New New New New New New New New New New New New New New New New New New New New New New New New New New New New New New New New New New New New New New New New New New New New New New New New New New New New New New New New New New New New 33"/>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16">
    <w:name w:val="正文 New New New New New New New New New New New New New New New New New New New New New New New New New New New New New New New New New New New New New New New New New New New New New New New New New New New New New New New New New New New New New New 27"/>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17">
    <w:name w:val="正文 New New New New New New New New New New New New New New New New New New New New New New New New New New New New New New New New New New New New New New New New New New New New New New New New New New New New New New New New New New New New New New"/>
    <w:qFormat/>
    <w:uiPriority w:val="0"/>
    <w:pPr>
      <w:widowControl w:val="0"/>
      <w:jc w:val="both"/>
    </w:pPr>
    <w:rPr>
      <w:rFonts w:ascii="Times New Roman" w:hAnsi="Times New Roman" w:eastAsia="宋体" w:cs="Times New Roman"/>
      <w:kern w:val="2"/>
      <w:sz w:val="21"/>
      <w:lang w:val="en-US" w:eastAsia="zh-CN" w:bidi="ar-SA"/>
    </w:rPr>
  </w:style>
  <w:style w:type="paragraph" w:customStyle="1" w:styleId="118">
    <w:name w:val="正文 New New New New New New New New New New New New New New New New New New New New New New New New New New New New New New New New New New New New New New New New New New New New New New New New New New New New New New New New New New New New New New Ne"/>
    <w:qFormat/>
    <w:uiPriority w:val="0"/>
    <w:pPr>
      <w:widowControl w:val="0"/>
      <w:jc w:val="both"/>
    </w:pPr>
    <w:rPr>
      <w:rFonts w:ascii="Times New Roman" w:hAnsi="Times New Roman" w:eastAsia="宋体" w:cs="Times New Roman"/>
      <w:kern w:val="2"/>
      <w:sz w:val="21"/>
      <w:lang w:val="en-US" w:eastAsia="zh-CN" w:bidi="ar-SA"/>
    </w:rPr>
  </w:style>
  <w:style w:type="paragraph" w:customStyle="1" w:styleId="119">
    <w:name w:val="WPSOffice手动目录 2"/>
    <w:qFormat/>
    <w:uiPriority w:val="0"/>
    <w:pPr>
      <w:ind w:left="200" w:leftChars="200"/>
    </w:pPr>
    <w:rPr>
      <w:rFonts w:ascii="Times New Roman" w:hAnsi="Times New Roman" w:eastAsia="宋体" w:cs="Times New Roman"/>
      <w:lang w:val="en-US" w:eastAsia="zh-CN" w:bidi="ar-SA"/>
    </w:rPr>
  </w:style>
  <w:style w:type="paragraph" w:customStyle="1" w:styleId="120">
    <w:name w:val="WPSOffice手动目录 3"/>
    <w:qFormat/>
    <w:uiPriority w:val="0"/>
    <w:pPr>
      <w:ind w:left="400" w:leftChars="400"/>
    </w:pPr>
    <w:rPr>
      <w:rFonts w:ascii="Times New Roman" w:hAnsi="Times New Roman" w:eastAsia="宋体" w:cs="Times New Roman"/>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2.xml"/><Relationship Id="rId8" Type="http://schemas.openxmlformats.org/officeDocument/2006/relationships/customXml" Target="../customXml/item1.xml"/><Relationship Id="rId7" Type="http://schemas.openxmlformats.org/officeDocument/2006/relationships/image" Target="media/image1.jpeg"/><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56B9102-6CEC-46D5-B51C-496F4DEA4F59}">
  <ds:schemaRefs/>
</ds:datastoreItem>
</file>

<file path=docProps/app.xml><?xml version="1.0" encoding="utf-8"?>
<Properties xmlns="http://schemas.openxmlformats.org/officeDocument/2006/extended-properties" xmlns:vt="http://schemas.openxmlformats.org/officeDocument/2006/docPropsVTypes">
  <Template>Normal</Template>
  <Company>www.lenovo.com</Company>
  <Pages>22</Pages>
  <Words>9958</Words>
  <Characters>10717</Characters>
  <Lines>93</Lines>
  <Paragraphs>26</Paragraphs>
  <TotalTime>9</TotalTime>
  <ScaleCrop>false</ScaleCrop>
  <LinksUpToDate>false</LinksUpToDate>
  <CharactersWithSpaces>10752</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2024-03-13T02:40:00Z</dcterms:created>
  <dc:creator>雨林木风</dc:creator>
  <cp:lastModifiedBy>奔牛1370656347</cp:lastModifiedBy>
  <cp:lastPrinted>2024-10-28T06:12:09Z</cp:lastPrinted>
  <dcterms:modified xsi:type="dcterms:W3CDTF">2024-10-28T06:15:00Z</dcterms:modified>
  <dc:title>关于征求意见的通知</dc:title>
  <cp:revision>11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EA74A95A1BF8411BBD0864376B4A16B9_13</vt:lpwstr>
  </property>
  <property fmtid="{D5CDD505-2E9C-101B-9397-08002B2CF9AE}" pid="4" name="GSEDS_HWMT_d46a6755">
    <vt:lpwstr>f245262e_mFV3wD84Kik0PcpOl3v9qJKvJV4=_8QYrr0VBXCkrPNpNkHH5ryVuwu/AXQivXUoxkWupAJGYRzd42K8hDv8YdTxl3Su6QG/U50KQWiayoKXOkZ0gLsnhCHtCSg==_0f0852f3</vt:lpwstr>
  </property>
</Properties>
</file>